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A52C" w14:textId="77777777" w:rsidR="003E58F0" w:rsidRDefault="005644B7">
      <w:r>
        <w:t>研究課題名</w:t>
      </w:r>
    </w:p>
    <w:p w14:paraId="42E93D5C" w14:textId="0854E627" w:rsidR="005644B7" w:rsidRPr="00EA2E18" w:rsidRDefault="005644B7">
      <w:pPr>
        <w:rPr>
          <w:lang w:val="en-CA"/>
        </w:rPr>
      </w:pPr>
      <w:r>
        <w:rPr>
          <w:rFonts w:hint="eastAsia"/>
        </w:rPr>
        <w:t>「</w:t>
      </w:r>
      <w:r w:rsidR="000C1AFB">
        <w:rPr>
          <w:rFonts w:hint="eastAsia"/>
        </w:rPr>
        <w:t xml:space="preserve">　</w:t>
      </w:r>
      <w:r w:rsidR="000C1AFB" w:rsidRPr="00EC51F3">
        <w:rPr>
          <w:rFonts w:cs="ＭＳ 明朝" w:hint="eastAsia"/>
        </w:rPr>
        <w:t>高度腎機能障害を合併する</w:t>
      </w:r>
      <w:r w:rsidR="000C1AFB" w:rsidRPr="00EC51F3">
        <w:rPr>
          <w:rFonts w:cs="ＭＳ 明朝" w:hint="eastAsia"/>
        </w:rPr>
        <w:t>C</w:t>
      </w:r>
      <w:r w:rsidR="000C1AFB" w:rsidRPr="00EC51F3">
        <w:rPr>
          <w:rFonts w:cs="ＭＳ 明朝" w:hint="eastAsia"/>
        </w:rPr>
        <w:t>型慢性肝疾患に対するダクラタスビル／アスナプレビル治療の有効性・安全性を検証する観察研究</w:t>
      </w:r>
      <w:r w:rsidR="005856AD">
        <w:rPr>
          <w:rFonts w:hint="eastAsia"/>
        </w:rPr>
        <w:t xml:space="preserve">　</w:t>
      </w:r>
      <w:r>
        <w:rPr>
          <w:rFonts w:hint="eastAsia"/>
        </w:rPr>
        <w:t>」</w:t>
      </w:r>
    </w:p>
    <w:p w14:paraId="08E3CAFE" w14:textId="231B4FBF"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 w:rsidR="001A64D1">
        <w:rPr>
          <w:rFonts w:hint="eastAsia"/>
        </w:rPr>
        <w:t>H29</w:t>
      </w:r>
      <w:r w:rsidR="00620AC6">
        <w:rPr>
          <w:rFonts w:hint="eastAsia"/>
        </w:rPr>
        <w:t>中倫小第</w:t>
      </w:r>
      <w:r w:rsidR="00620AC6">
        <w:rPr>
          <w:rFonts w:hint="eastAsia"/>
        </w:rPr>
        <w:t>30</w:t>
      </w:r>
      <w:r>
        <w:rPr>
          <w:rFonts w:hint="eastAsia"/>
        </w:rPr>
        <w:t>号）</w:t>
      </w:r>
    </w:p>
    <w:p w14:paraId="25EF1A36" w14:textId="77777777" w:rsidR="005644B7" w:rsidRDefault="005644B7">
      <w:r>
        <w:rPr>
          <w:rFonts w:hint="eastAsia"/>
        </w:rPr>
        <w:t xml:space="preserve">　　　　　　　　　　　　　　　</w:t>
      </w:r>
    </w:p>
    <w:p w14:paraId="60CD5C56" w14:textId="04455D41" w:rsidR="005644B7" w:rsidRPr="00EA2E18" w:rsidRDefault="00EA2E18" w:rsidP="00EA2E18">
      <w:pPr>
        <w:rPr>
          <w:lang w:val="en-CA"/>
        </w:rPr>
      </w:pPr>
      <w:r>
        <w:rPr>
          <w:rFonts w:hint="eastAsia"/>
        </w:rPr>
        <w:t xml:space="preserve">　</w:t>
      </w:r>
      <w:r w:rsidR="000C1AFB" w:rsidRPr="00EC51F3">
        <w:rPr>
          <w:rFonts w:cs="ＭＳ 明朝" w:hint="eastAsia"/>
        </w:rPr>
        <w:t>高度腎機能障害を合併する</w:t>
      </w:r>
      <w:r w:rsidR="000C1AFB" w:rsidRPr="00EC51F3">
        <w:rPr>
          <w:rFonts w:cs="ＭＳ 明朝" w:hint="eastAsia"/>
        </w:rPr>
        <w:t>C</w:t>
      </w:r>
      <w:r w:rsidR="000C1AFB" w:rsidRPr="00EC51F3">
        <w:rPr>
          <w:rFonts w:cs="ＭＳ 明朝" w:hint="eastAsia"/>
        </w:rPr>
        <w:t>型慢性肝疾患に対するダクラタスビル／アスナプレビル治療の有効性・安全性を検証する観察研究</w:t>
      </w:r>
      <w:r w:rsidR="000C1AFB">
        <w:rPr>
          <w:rFonts w:cs="ＭＳ 明朝" w:hint="eastAsia"/>
        </w:rPr>
        <w:t xml:space="preserve">　</w:t>
      </w:r>
      <w:r w:rsidR="005644B7">
        <w:rPr>
          <w:rFonts w:hint="eastAsia"/>
        </w:rPr>
        <w:t>実施についてのお知らせ</w:t>
      </w:r>
    </w:p>
    <w:p w14:paraId="415C3D76" w14:textId="77777777" w:rsidR="005644B7" w:rsidRDefault="005644B7" w:rsidP="005644B7">
      <w:pPr>
        <w:jc w:val="center"/>
      </w:pPr>
    </w:p>
    <w:p w14:paraId="0AAEB921" w14:textId="3B3BC918" w:rsidR="005644B7" w:rsidRDefault="005856AD" w:rsidP="005644B7">
      <w:pPr>
        <w:jc w:val="left"/>
      </w:pPr>
      <w:r>
        <w:rPr>
          <w:rFonts w:hint="eastAsia"/>
        </w:rPr>
        <w:t xml:space="preserve">　</w:t>
      </w:r>
      <w:r w:rsidR="00EA2E18">
        <w:rPr>
          <w:rFonts w:hint="eastAsia"/>
        </w:rPr>
        <w:t>県立中部病院消化器内科</w:t>
      </w:r>
      <w:r w:rsidR="005644B7">
        <w:rPr>
          <w:rFonts w:hint="eastAsia"/>
        </w:rPr>
        <w:t>では、</w:t>
      </w:r>
      <w:r w:rsidR="000C1AFB" w:rsidRPr="00EC51F3">
        <w:rPr>
          <w:rFonts w:cs="ＭＳ 明朝" w:hint="eastAsia"/>
        </w:rPr>
        <w:t>高度腎機能障害を合併する</w:t>
      </w:r>
      <w:r w:rsidR="000C1AFB" w:rsidRPr="00EC51F3">
        <w:rPr>
          <w:rFonts w:cs="ＭＳ 明朝" w:hint="eastAsia"/>
        </w:rPr>
        <w:t>C</w:t>
      </w:r>
      <w:r w:rsidR="000C1AFB" w:rsidRPr="00EC51F3">
        <w:rPr>
          <w:rFonts w:cs="ＭＳ 明朝" w:hint="eastAsia"/>
        </w:rPr>
        <w:t>型慢性肝疾患に対するダクラタスビル／アスナプレビル治療の有効性・安全性を検証する観察研究</w:t>
      </w:r>
      <w:r w:rsidR="00EA2E18">
        <w:rPr>
          <w:rFonts w:hint="eastAsia"/>
        </w:rPr>
        <w:t xml:space="preserve">　</w:t>
      </w:r>
      <w:r w:rsidR="005644B7" w:rsidRPr="005644B7">
        <w:rPr>
          <w:rFonts w:hint="eastAsia"/>
        </w:rPr>
        <w:t>を実施しております。</w:t>
      </w:r>
    </w:p>
    <w:p w14:paraId="6C00D19F" w14:textId="7D9583EF" w:rsidR="005644B7" w:rsidRDefault="00EA2E18" w:rsidP="005644B7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5644B7">
        <w:rPr>
          <w:rFonts w:hint="eastAsia"/>
        </w:rPr>
        <w:t xml:space="preserve">平成　　</w:t>
      </w:r>
      <w:r>
        <w:rPr>
          <w:rFonts w:hint="eastAsia"/>
        </w:rPr>
        <w:t>２９</w:t>
      </w:r>
      <w:r w:rsidR="005644B7">
        <w:rPr>
          <w:rFonts w:hint="eastAsia"/>
        </w:rPr>
        <w:t xml:space="preserve">年　　</w:t>
      </w:r>
      <w:r w:rsidR="005579A2">
        <w:rPr>
          <w:rFonts w:hint="eastAsia"/>
        </w:rPr>
        <w:t>６</w:t>
      </w:r>
      <w:r w:rsidR="005644B7">
        <w:rPr>
          <w:rFonts w:hint="eastAsia"/>
        </w:rPr>
        <w:t xml:space="preserve">月　　</w:t>
      </w:r>
      <w:r w:rsidR="005579A2">
        <w:rPr>
          <w:rFonts w:hint="eastAsia"/>
        </w:rPr>
        <w:t>１２</w:t>
      </w:r>
      <w:r w:rsidR="005644B7">
        <w:rPr>
          <w:rFonts w:hint="eastAsia"/>
        </w:rPr>
        <w:t>日</w:t>
      </w:r>
    </w:p>
    <w:p w14:paraId="7676A829" w14:textId="77777777" w:rsidR="005644B7" w:rsidRDefault="005644B7" w:rsidP="005644B7">
      <w:pPr>
        <w:jc w:val="left"/>
      </w:pPr>
    </w:p>
    <w:p w14:paraId="411E2036" w14:textId="77777777" w:rsidR="005644B7" w:rsidRDefault="005644B7" w:rsidP="00620AC6">
      <w:pPr>
        <w:jc w:val="left"/>
      </w:pPr>
      <w:r>
        <w:rPr>
          <w:rFonts w:hint="eastAsia"/>
        </w:rPr>
        <w:t>【研究課題名】</w:t>
      </w:r>
    </w:p>
    <w:p w14:paraId="3BC68013" w14:textId="6129D653" w:rsidR="005644B7" w:rsidRDefault="000C1AFB" w:rsidP="005644B7">
      <w:pPr>
        <w:ind w:firstLineChars="100" w:firstLine="210"/>
        <w:jc w:val="left"/>
        <w:rPr>
          <w:rFonts w:cs="ＭＳ 明朝"/>
        </w:rPr>
      </w:pPr>
      <w:r w:rsidRPr="00EC51F3">
        <w:rPr>
          <w:rFonts w:cs="ＭＳ 明朝" w:hint="eastAsia"/>
        </w:rPr>
        <w:t>高度腎機能障害を合併する</w:t>
      </w:r>
      <w:r w:rsidRPr="00EC51F3">
        <w:rPr>
          <w:rFonts w:cs="ＭＳ 明朝" w:hint="eastAsia"/>
        </w:rPr>
        <w:t>C</w:t>
      </w:r>
      <w:r w:rsidRPr="00EC51F3">
        <w:rPr>
          <w:rFonts w:cs="ＭＳ 明朝" w:hint="eastAsia"/>
        </w:rPr>
        <w:t>型慢性肝疾患に対するダクラタスビル／アスナプレビル治療の有効性・安全性を検証する観察研究</w:t>
      </w:r>
    </w:p>
    <w:p w14:paraId="4D6FD36A" w14:textId="77777777" w:rsidR="007F3EF7" w:rsidRDefault="007F3EF7" w:rsidP="005644B7">
      <w:pPr>
        <w:ind w:firstLineChars="100" w:firstLine="210"/>
        <w:jc w:val="left"/>
      </w:pPr>
    </w:p>
    <w:p w14:paraId="56B2437F" w14:textId="77777777" w:rsidR="007F3EF7" w:rsidRDefault="007F3EF7" w:rsidP="00620AC6">
      <w:pPr>
        <w:jc w:val="left"/>
        <w:rPr>
          <w:rFonts w:hint="eastAsia"/>
        </w:rPr>
      </w:pPr>
      <w:r>
        <w:rPr>
          <w:rFonts w:hint="eastAsia"/>
        </w:rPr>
        <w:t>【研究目的・意義】</w:t>
      </w:r>
    </w:p>
    <w:p w14:paraId="141AE1D7" w14:textId="4843C0CB" w:rsidR="00620AC6" w:rsidRDefault="00620AC6" w:rsidP="00620AC6">
      <w:pPr>
        <w:jc w:val="left"/>
      </w:pPr>
      <w:r>
        <w:rPr>
          <w:rFonts w:hint="eastAsia"/>
        </w:rPr>
        <w:t xml:space="preserve">　</w:t>
      </w:r>
      <w:r w:rsidRPr="00750C3D">
        <w:rPr>
          <w:rFonts w:hint="eastAsia"/>
          <w:color w:val="000000"/>
          <w:szCs w:val="21"/>
        </w:rPr>
        <w:t>維持透析例を含めた高度の腎機能障害を合併する</w:t>
      </w:r>
      <w:r w:rsidRPr="00750C3D">
        <w:rPr>
          <w:rFonts w:hint="eastAsia"/>
          <w:color w:val="000000"/>
          <w:szCs w:val="21"/>
        </w:rPr>
        <w:t>GT1</w:t>
      </w:r>
      <w:r w:rsidRPr="00750C3D">
        <w:rPr>
          <w:rFonts w:hint="eastAsia"/>
          <w:color w:val="000000"/>
          <w:szCs w:val="21"/>
        </w:rPr>
        <w:t>の</w:t>
      </w:r>
      <w:r w:rsidRPr="00750C3D">
        <w:rPr>
          <w:rFonts w:hint="eastAsia"/>
          <w:color w:val="000000"/>
          <w:szCs w:val="21"/>
        </w:rPr>
        <w:t>C</w:t>
      </w:r>
      <w:r w:rsidRPr="00750C3D">
        <w:rPr>
          <w:rFonts w:hint="eastAsia"/>
          <w:color w:val="000000"/>
          <w:szCs w:val="21"/>
        </w:rPr>
        <w:t>型慢性肝炎または代償性肝硬変における</w:t>
      </w:r>
      <w:r w:rsidRPr="00EC51F3">
        <w:rPr>
          <w:rFonts w:cs="ＭＳ 明朝" w:hint="eastAsia"/>
        </w:rPr>
        <w:t>ダクラタスビル／アスナプレビル</w:t>
      </w:r>
      <w:r w:rsidRPr="00750C3D">
        <w:rPr>
          <w:rFonts w:hint="eastAsia"/>
          <w:color w:val="000000"/>
          <w:szCs w:val="21"/>
        </w:rPr>
        <w:t>による抗ウイルス治療の有効性と安全性を評価することを目的と</w:t>
      </w:r>
      <w:r>
        <w:rPr>
          <w:rFonts w:hint="eastAsia"/>
          <w:color w:val="000000"/>
          <w:szCs w:val="21"/>
        </w:rPr>
        <w:t>しています。</w:t>
      </w:r>
    </w:p>
    <w:p w14:paraId="0FD4371B" w14:textId="542ECFB8" w:rsidR="007F3EF7" w:rsidRDefault="00620AC6" w:rsidP="00620AC6">
      <w:pPr>
        <w:ind w:firstLineChars="100" w:firstLine="210"/>
        <w:jc w:val="left"/>
        <w:rPr>
          <w:rFonts w:ascii="ＭＳ 明朝"/>
        </w:rPr>
      </w:pPr>
      <w:r>
        <w:rPr>
          <w:rFonts w:cs="ＭＳ 明朝" w:hint="eastAsia"/>
        </w:rPr>
        <w:t>ダクラタスビル、</w:t>
      </w:r>
      <w:r w:rsidRPr="00EC51F3">
        <w:rPr>
          <w:rFonts w:cs="ＭＳ 明朝" w:hint="eastAsia"/>
        </w:rPr>
        <w:t>アスナプレビル</w:t>
      </w:r>
      <w:r w:rsidR="007F3EF7" w:rsidRPr="00EC51F3">
        <w:rPr>
          <w:rFonts w:ascii="ＭＳ 明朝" w:hint="eastAsia"/>
        </w:rPr>
        <w:t>とも</w:t>
      </w:r>
      <w:r>
        <w:rPr>
          <w:rFonts w:ascii="ＭＳ 明朝" w:hint="eastAsia"/>
        </w:rPr>
        <w:t>、</w:t>
      </w:r>
      <w:r w:rsidR="007F3EF7" w:rsidRPr="00EC51F3">
        <w:rPr>
          <w:rFonts w:ascii="ＭＳ 明朝" w:hint="eastAsia"/>
        </w:rPr>
        <w:t>ほとんどが便中に排泄され、透析中の方でも腎機</w:t>
      </w:r>
      <w:r w:rsidR="007F3EF7">
        <w:rPr>
          <w:rFonts w:ascii="ＭＳ 明朝" w:hint="eastAsia"/>
        </w:rPr>
        <w:t>能の正常な方と同じ用法・用</w:t>
      </w:r>
      <w:r>
        <w:rPr>
          <w:rFonts w:ascii="ＭＳ 明朝" w:hint="eastAsia"/>
        </w:rPr>
        <w:t>量で治療を行うことが可能とされています</w:t>
      </w:r>
      <w:r w:rsidR="007F3EF7" w:rsidRPr="00EC51F3">
        <w:rPr>
          <w:rFonts w:ascii="ＭＳ 明朝" w:hint="eastAsia"/>
        </w:rPr>
        <w:t>。しかし腎障害を合併するC</w:t>
      </w:r>
      <w:r w:rsidR="007F3EF7">
        <w:rPr>
          <w:rFonts w:ascii="ＭＳ 明朝" w:hint="eastAsia"/>
        </w:rPr>
        <w:t>型慢性肝疾患の方</w:t>
      </w:r>
      <w:r w:rsidR="007F3EF7" w:rsidRPr="00EC51F3">
        <w:rPr>
          <w:rFonts w:ascii="ＭＳ 明朝" w:hint="eastAsia"/>
        </w:rPr>
        <w:t>の治療経過の報告は数が少なく、多くの方においてこの治療の</w:t>
      </w:r>
      <w:r w:rsidR="007F3EF7">
        <w:rPr>
          <w:rFonts w:ascii="ＭＳ 明朝" w:hint="eastAsia"/>
        </w:rPr>
        <w:t>効果、安全性を確認し、また治療不成功例の特徴を明らかにすることで</w:t>
      </w:r>
      <w:r w:rsidR="007F3EF7" w:rsidRPr="00EC51F3">
        <w:rPr>
          <w:rFonts w:ascii="ＭＳ 明朝" w:hint="eastAsia"/>
        </w:rPr>
        <w:t>、今後の新規薬剤の登場までの治療待機を含めて、一人一人の患者様へ適切な治療法を選択するうえで大変重要と</w:t>
      </w:r>
      <w:r>
        <w:rPr>
          <w:rFonts w:ascii="ＭＳ 明朝" w:hint="eastAsia"/>
        </w:rPr>
        <w:t>考えられております。</w:t>
      </w:r>
    </w:p>
    <w:p w14:paraId="560E6093" w14:textId="77777777" w:rsidR="007F3EF7" w:rsidRDefault="007F3EF7" w:rsidP="007F3EF7">
      <w:pPr>
        <w:jc w:val="left"/>
        <w:rPr>
          <w:sz w:val="22"/>
        </w:rPr>
      </w:pPr>
    </w:p>
    <w:p w14:paraId="5B52C3B9" w14:textId="69CF24BB" w:rsidR="007F3EF7" w:rsidRDefault="007F3EF7" w:rsidP="007F3EF7">
      <w:pPr>
        <w:jc w:val="left"/>
      </w:pPr>
      <w:r>
        <w:t>【研究の方法】</w:t>
      </w:r>
    </w:p>
    <w:p w14:paraId="112B83E6" w14:textId="5930796B" w:rsidR="007F3EF7" w:rsidRPr="000C1AFB" w:rsidRDefault="007F3EF7" w:rsidP="00620AC6">
      <w:pPr>
        <w:ind w:firstLineChars="100" w:firstLine="210"/>
        <w:rPr>
          <w:bCs/>
          <w:color w:val="000000"/>
          <w:szCs w:val="21"/>
        </w:rPr>
      </w:pPr>
      <w:r>
        <w:rPr>
          <w:rFonts w:hint="eastAsia"/>
        </w:rPr>
        <w:t>前向き</w:t>
      </w:r>
      <w:r w:rsidRPr="00604FC1">
        <w:rPr>
          <w:bCs/>
          <w:color w:val="000000"/>
          <w:szCs w:val="21"/>
        </w:rPr>
        <w:t>観察研究</w:t>
      </w:r>
      <w:r w:rsidR="00620AC6">
        <w:rPr>
          <w:rFonts w:hint="eastAsia"/>
          <w:bCs/>
          <w:color w:val="000000"/>
          <w:szCs w:val="21"/>
        </w:rPr>
        <w:t>。詳細については、下記調査対象参照。</w:t>
      </w:r>
    </w:p>
    <w:p w14:paraId="492C252E" w14:textId="77777777" w:rsidR="005644B7" w:rsidRDefault="005644B7" w:rsidP="005644B7">
      <w:pPr>
        <w:ind w:firstLineChars="100" w:firstLine="210"/>
        <w:jc w:val="left"/>
      </w:pPr>
    </w:p>
    <w:p w14:paraId="3D9B2C1B" w14:textId="77777777" w:rsidR="005644B7" w:rsidRDefault="005644B7" w:rsidP="00620AC6">
      <w:pPr>
        <w:jc w:val="left"/>
      </w:pPr>
      <w:r>
        <w:rPr>
          <w:rFonts w:hint="eastAsia"/>
        </w:rPr>
        <w:t>【研究期間】</w:t>
      </w:r>
    </w:p>
    <w:p w14:paraId="04F7CBD9" w14:textId="726BC42E" w:rsidR="00EA2E18" w:rsidRPr="004035EB" w:rsidRDefault="000C1AFB" w:rsidP="00620AC6">
      <w:pPr>
        <w:ind w:firstLineChars="100" w:firstLine="22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2015</w:t>
      </w:r>
      <w:r>
        <w:rPr>
          <w:rFonts w:ascii="ＭＳ 明朝" w:hAnsi="ＭＳ 明朝" w:cs="ＭＳ 明朝" w:hint="eastAsia"/>
          <w:sz w:val="22"/>
        </w:rPr>
        <w:t>年４</w:t>
      </w:r>
      <w:r w:rsidR="00EA2E18" w:rsidRPr="004035EB">
        <w:rPr>
          <w:rFonts w:ascii="ＭＳ 明朝" w:hAnsi="ＭＳ 明朝" w:cs="ＭＳ 明朝" w:hint="eastAsia"/>
          <w:sz w:val="22"/>
        </w:rPr>
        <w:t>月から20</w:t>
      </w:r>
      <w:r>
        <w:rPr>
          <w:rFonts w:ascii="ＭＳ 明朝" w:hAnsi="ＭＳ 明朝" w:cs="ＭＳ 明朝"/>
          <w:sz w:val="22"/>
        </w:rPr>
        <w:t>1</w:t>
      </w:r>
      <w:r w:rsidR="00620AC6">
        <w:rPr>
          <w:rFonts w:ascii="ＭＳ 明朝" w:hAnsi="ＭＳ 明朝" w:cs="ＭＳ 明朝" w:hint="eastAsia"/>
          <w:sz w:val="22"/>
        </w:rPr>
        <w:t>8</w:t>
      </w:r>
      <w:r w:rsidR="00EA2E18" w:rsidRPr="004035EB">
        <w:rPr>
          <w:rFonts w:ascii="ＭＳ 明朝" w:hAnsi="ＭＳ 明朝" w:cs="ＭＳ 明朝" w:hint="eastAsia"/>
          <w:sz w:val="22"/>
        </w:rPr>
        <w:t>年</w:t>
      </w:r>
      <w:r w:rsidR="00620AC6">
        <w:rPr>
          <w:rFonts w:ascii="ＭＳ 明朝" w:hAnsi="ＭＳ 明朝" w:cs="ＭＳ 明朝" w:hint="eastAsia"/>
          <w:sz w:val="22"/>
        </w:rPr>
        <w:t>12</w:t>
      </w:r>
      <w:r w:rsidR="00EA2E18">
        <w:rPr>
          <w:rFonts w:ascii="ＭＳ 明朝" w:hAnsi="ＭＳ 明朝" w:cs="ＭＳ 明朝" w:hint="eastAsia"/>
          <w:sz w:val="22"/>
        </w:rPr>
        <w:t>月まで</w:t>
      </w:r>
    </w:p>
    <w:p w14:paraId="2B6C59F2" w14:textId="77777777" w:rsidR="007F3EF7" w:rsidRDefault="000C1AFB" w:rsidP="000C1AFB">
      <w:pPr>
        <w:jc w:val="left"/>
      </w:pPr>
      <w:r>
        <w:rPr>
          <w:rFonts w:hint="eastAsia"/>
        </w:rPr>
        <w:t xml:space="preserve">　</w:t>
      </w:r>
    </w:p>
    <w:p w14:paraId="7CDBE806" w14:textId="76C369D5" w:rsidR="005644B7" w:rsidRDefault="005644B7" w:rsidP="000C1AFB">
      <w:pPr>
        <w:jc w:val="left"/>
      </w:pPr>
      <w:r>
        <w:rPr>
          <w:rFonts w:hint="eastAsia"/>
        </w:rPr>
        <w:t>【調査対象】</w:t>
      </w:r>
    </w:p>
    <w:p w14:paraId="5B683146" w14:textId="77777777" w:rsidR="000C1AFB" w:rsidRPr="006A468D" w:rsidRDefault="000C1AFB" w:rsidP="000C1AFB">
      <w:pPr>
        <w:pStyle w:val="a7"/>
        <w:numPr>
          <w:ilvl w:val="0"/>
          <w:numId w:val="1"/>
        </w:numPr>
        <w:ind w:leftChars="0"/>
        <w:rPr>
          <w:rFonts w:asciiTheme="minorHAnsi" w:eastAsiaTheme="minorEastAsia" w:hAnsiTheme="minorHAnsi"/>
          <w:szCs w:val="21"/>
          <w:lang w:val="de-DE"/>
        </w:rPr>
      </w:pPr>
      <w:r w:rsidRPr="006A468D">
        <w:rPr>
          <w:rFonts w:asciiTheme="minorHAnsi" w:eastAsiaTheme="minorEastAsia" w:hAnsiTheme="minorHAnsi" w:hint="eastAsia"/>
          <w:szCs w:val="21"/>
        </w:rPr>
        <w:t>高度腎機能低下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（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CKD</w:t>
      </w:r>
      <w:r w:rsidRPr="006A468D">
        <w:rPr>
          <w:rFonts w:asciiTheme="minorHAnsi" w:eastAsiaTheme="minorEastAsia" w:hAnsiTheme="minorHAnsi" w:hint="eastAsia"/>
          <w:szCs w:val="21"/>
        </w:rPr>
        <w:t>ステージ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G4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：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eGFR 15~29mL/</w:t>
      </w:r>
      <w:r w:rsidRPr="006A468D">
        <w:rPr>
          <w:rFonts w:asciiTheme="minorHAnsi" w:eastAsiaTheme="minorEastAsia" w:hAnsiTheme="minorHAnsi" w:hint="eastAsia"/>
          <w:szCs w:val="21"/>
        </w:rPr>
        <w:t>分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/1.73m</w:t>
      </w:r>
      <w:r w:rsidRPr="006A468D">
        <w:rPr>
          <w:rFonts w:asciiTheme="minorHAnsi" w:eastAsiaTheme="minorEastAsia" w:hAnsiTheme="minorHAnsi" w:hint="eastAsia"/>
          <w:szCs w:val="21"/>
          <w:vertAlign w:val="superscript"/>
          <w:lang w:val="de-DE"/>
        </w:rPr>
        <w:t>2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）</w:t>
      </w:r>
      <w:r w:rsidRPr="006A468D">
        <w:rPr>
          <w:rFonts w:asciiTheme="minorHAnsi" w:eastAsiaTheme="minorEastAsia" w:hAnsiTheme="minorHAnsi" w:hint="eastAsia"/>
          <w:szCs w:val="21"/>
        </w:rPr>
        <w:t>および維持透</w:t>
      </w:r>
      <w:r w:rsidRPr="006A468D">
        <w:rPr>
          <w:rFonts w:asciiTheme="minorHAnsi" w:eastAsiaTheme="minorEastAsia" w:hAnsiTheme="minorHAnsi" w:hint="eastAsia"/>
          <w:szCs w:val="21"/>
        </w:rPr>
        <w:lastRenderedPageBreak/>
        <w:t>析中を含めた末期腎不全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（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end stage kidney disease, ESRD</w:t>
      </w:r>
      <w:r w:rsidRPr="006A468D">
        <w:rPr>
          <w:rFonts w:asciiTheme="minorHAnsi" w:eastAsiaTheme="minorEastAsia" w:hAnsiTheme="minorHAnsi" w:hint="eastAsia"/>
          <w:szCs w:val="21"/>
        </w:rPr>
        <w:t>、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CKD</w:t>
      </w:r>
      <w:r w:rsidRPr="006A468D">
        <w:rPr>
          <w:rFonts w:asciiTheme="minorHAnsi" w:eastAsiaTheme="minorEastAsia" w:hAnsiTheme="minorHAnsi" w:hint="eastAsia"/>
          <w:szCs w:val="21"/>
        </w:rPr>
        <w:t>ステージ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G5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：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eGFR &lt;15mL/</w:t>
      </w:r>
      <w:r w:rsidRPr="006A468D">
        <w:rPr>
          <w:rFonts w:asciiTheme="minorHAnsi" w:eastAsiaTheme="minorEastAsia" w:hAnsiTheme="minorHAnsi" w:hint="eastAsia"/>
          <w:szCs w:val="21"/>
        </w:rPr>
        <w:t>分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/1.73m</w:t>
      </w:r>
      <w:r w:rsidRPr="006A468D">
        <w:rPr>
          <w:rFonts w:asciiTheme="minorHAnsi" w:eastAsiaTheme="minorEastAsia" w:hAnsiTheme="minorHAnsi" w:hint="eastAsia"/>
          <w:szCs w:val="21"/>
          <w:vertAlign w:val="superscript"/>
          <w:lang w:val="de-DE"/>
        </w:rPr>
        <w:t>2</w:t>
      </w:r>
      <w:r w:rsidRPr="006A468D">
        <w:rPr>
          <w:rFonts w:asciiTheme="minorHAnsi" w:eastAsiaTheme="minorEastAsia" w:hAnsiTheme="minorHAnsi" w:hint="eastAsia"/>
          <w:szCs w:val="21"/>
          <w:lang w:val="de-DE"/>
        </w:rPr>
        <w:t>）</w:t>
      </w:r>
      <w:r w:rsidRPr="006A468D">
        <w:rPr>
          <w:rFonts w:asciiTheme="minorHAnsi" w:eastAsiaTheme="minorEastAsia" w:hAnsiTheme="minorHAnsi" w:hint="eastAsia"/>
          <w:szCs w:val="21"/>
        </w:rPr>
        <w:t>の患者。</w:t>
      </w:r>
    </w:p>
    <w:p w14:paraId="47373E45" w14:textId="77777777" w:rsidR="000C1AFB" w:rsidRPr="006A468D" w:rsidRDefault="000C1AFB" w:rsidP="000C1AFB">
      <w:pPr>
        <w:pStyle w:val="a7"/>
        <w:numPr>
          <w:ilvl w:val="0"/>
          <w:numId w:val="1"/>
        </w:numPr>
        <w:ind w:leftChars="0"/>
        <w:rPr>
          <w:rFonts w:asciiTheme="minorHAnsi" w:eastAsiaTheme="minorEastAsia" w:hAnsiTheme="minorHAnsi"/>
          <w:szCs w:val="21"/>
        </w:rPr>
      </w:pPr>
      <w:r w:rsidRPr="006A468D">
        <w:rPr>
          <w:rFonts w:asciiTheme="minorHAnsi" w:eastAsiaTheme="minorEastAsia" w:hAnsiTheme="minorHAnsi" w:hint="eastAsia"/>
          <w:szCs w:val="21"/>
        </w:rPr>
        <w:t>年齢が</w:t>
      </w:r>
      <w:r w:rsidRPr="006A468D">
        <w:rPr>
          <w:rFonts w:asciiTheme="minorHAnsi" w:eastAsiaTheme="minorEastAsia" w:hAnsiTheme="minorHAnsi" w:hint="eastAsia"/>
          <w:szCs w:val="21"/>
        </w:rPr>
        <w:t>15</w:t>
      </w:r>
      <w:r w:rsidRPr="006A468D">
        <w:rPr>
          <w:rFonts w:asciiTheme="minorHAnsi" w:eastAsiaTheme="minorEastAsia" w:hAnsiTheme="minorHAnsi" w:hint="eastAsia"/>
          <w:szCs w:val="21"/>
        </w:rPr>
        <w:t>歳以上の患者。</w:t>
      </w:r>
    </w:p>
    <w:p w14:paraId="1EC1E4D9" w14:textId="4E241E09" w:rsidR="007F3EF7" w:rsidRPr="007F3EF7" w:rsidRDefault="000C1AFB" w:rsidP="007F3EF7">
      <w:pPr>
        <w:pStyle w:val="a7"/>
        <w:numPr>
          <w:ilvl w:val="0"/>
          <w:numId w:val="1"/>
        </w:numPr>
        <w:ind w:leftChars="0"/>
        <w:rPr>
          <w:rFonts w:asciiTheme="minorHAnsi" w:eastAsiaTheme="minorEastAsia" w:hAnsiTheme="minorHAnsi"/>
          <w:szCs w:val="21"/>
        </w:rPr>
      </w:pPr>
      <w:r w:rsidRPr="006A468D">
        <w:rPr>
          <w:rFonts w:asciiTheme="minorHAnsi" w:eastAsiaTheme="minorEastAsia" w:hAnsiTheme="minorHAnsi" w:hint="eastAsia"/>
          <w:szCs w:val="21"/>
        </w:rPr>
        <w:t>GT1</w:t>
      </w:r>
      <w:r w:rsidRPr="006A468D">
        <w:rPr>
          <w:rFonts w:asciiTheme="minorHAnsi" w:eastAsiaTheme="minorEastAsia" w:hAnsiTheme="minorHAnsi" w:hint="eastAsia"/>
          <w:szCs w:val="21"/>
        </w:rPr>
        <w:t>の</w:t>
      </w:r>
      <w:r w:rsidRPr="006A468D">
        <w:rPr>
          <w:rFonts w:asciiTheme="minorHAnsi" w:eastAsiaTheme="minorEastAsia" w:hAnsiTheme="minorHAnsi" w:hint="eastAsia"/>
          <w:szCs w:val="21"/>
        </w:rPr>
        <w:t>C</w:t>
      </w:r>
      <w:r w:rsidRPr="006A468D">
        <w:rPr>
          <w:rFonts w:asciiTheme="minorHAnsi" w:eastAsiaTheme="minorEastAsia" w:hAnsiTheme="minorHAnsi" w:hint="eastAsia"/>
          <w:szCs w:val="21"/>
        </w:rPr>
        <w:t>型慢性肝炎または</w:t>
      </w:r>
      <w:r w:rsidRPr="006A468D">
        <w:rPr>
          <w:rFonts w:asciiTheme="minorHAnsi" w:eastAsiaTheme="minorEastAsia" w:hAnsiTheme="minorHAnsi" w:hint="eastAsia"/>
          <w:szCs w:val="21"/>
        </w:rPr>
        <w:t>C</w:t>
      </w:r>
      <w:r w:rsidRPr="006A468D">
        <w:rPr>
          <w:rFonts w:asciiTheme="minorHAnsi" w:eastAsiaTheme="minorEastAsia" w:hAnsiTheme="minorHAnsi" w:hint="eastAsia"/>
          <w:szCs w:val="21"/>
        </w:rPr>
        <w:t>型代償性肝硬変。</w:t>
      </w:r>
    </w:p>
    <w:p w14:paraId="140B4894" w14:textId="300B89F1" w:rsidR="007F3EF7" w:rsidRPr="00604FC1" w:rsidRDefault="007F3EF7" w:rsidP="007F3EF7">
      <w:pPr>
        <w:pStyle w:val="a8"/>
        <w:rPr>
          <w:rFonts w:asciiTheme="minorHAnsi" w:eastAsiaTheme="minorEastAsia" w:hAnsiTheme="minorHAnsi"/>
          <w:color w:val="000000"/>
          <w:szCs w:val="21"/>
          <w:u w:val="single"/>
          <w:lang w:val="de-DE"/>
        </w:rPr>
      </w:pPr>
      <w:r w:rsidRPr="00604FC1">
        <w:rPr>
          <w:rFonts w:asciiTheme="minorHAnsi" w:eastAsiaTheme="minorEastAsia" w:hAnsiTheme="minorHAnsi"/>
          <w:bCs/>
          <w:color w:val="000000"/>
          <w:szCs w:val="21"/>
          <w:u w:val="single"/>
          <w:lang w:val="de-DE"/>
        </w:rPr>
        <w:t>除外基準</w:t>
      </w:r>
    </w:p>
    <w:p w14:paraId="0FEC220C" w14:textId="77777777" w:rsidR="007F3EF7" w:rsidRPr="00604FC1" w:rsidRDefault="007F3EF7" w:rsidP="007F3EF7">
      <w:pPr>
        <w:pStyle w:val="a7"/>
        <w:numPr>
          <w:ilvl w:val="0"/>
          <w:numId w:val="4"/>
        </w:numPr>
        <w:ind w:leftChars="0" w:left="851"/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腎機能の他に加齢に伴わない臓器の機能不全の所見が認められ、臨床的に不安定な状態に進行する可能性のある患者。</w:t>
      </w:r>
    </w:p>
    <w:p w14:paraId="70E2D663" w14:textId="77777777" w:rsidR="007F3EF7" w:rsidRPr="00604FC1" w:rsidRDefault="007F3EF7" w:rsidP="007F3EF7">
      <w:pPr>
        <w:pStyle w:val="a8"/>
        <w:numPr>
          <w:ilvl w:val="0"/>
          <w:numId w:val="4"/>
        </w:numPr>
        <w:ind w:left="851"/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重大な薬剤アレルギー（アナフィラキシー）の既往歴を有する患者</w:t>
      </w:r>
    </w:p>
    <w:p w14:paraId="49477E5D" w14:textId="77777777" w:rsidR="007F3EF7" w:rsidRDefault="007F3EF7" w:rsidP="007F3EF7">
      <w:pPr>
        <w:pStyle w:val="a8"/>
        <w:numPr>
          <w:ilvl w:val="0"/>
          <w:numId w:val="4"/>
        </w:numPr>
        <w:ind w:left="851"/>
        <w:rPr>
          <w:rFonts w:asciiTheme="minorHAnsi" w:eastAsiaTheme="minorEastAsia" w:hAnsiTheme="minorHAnsi"/>
          <w:color w:val="000000"/>
          <w:szCs w:val="21"/>
        </w:rPr>
      </w:pPr>
      <w:r w:rsidRPr="00AA5C1A">
        <w:rPr>
          <w:rFonts w:asciiTheme="minorHAnsi" w:eastAsiaTheme="minorEastAsia" w:hAnsiTheme="minorHAnsi" w:hint="eastAsia"/>
          <w:color w:val="000000"/>
          <w:szCs w:val="21"/>
        </w:rPr>
        <w:t>非代償性肝硬変の患者</w:t>
      </w:r>
    </w:p>
    <w:p w14:paraId="56C78CED" w14:textId="77777777" w:rsidR="007F3EF7" w:rsidRPr="00604FC1" w:rsidRDefault="007F3EF7" w:rsidP="007F3EF7">
      <w:pPr>
        <w:pStyle w:val="a8"/>
        <w:numPr>
          <w:ilvl w:val="0"/>
          <w:numId w:val="4"/>
        </w:numPr>
        <w:ind w:left="851"/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併用禁止薬を投与中の患者</w:t>
      </w:r>
    </w:p>
    <w:p w14:paraId="40764374" w14:textId="77777777" w:rsidR="007F3EF7" w:rsidRPr="00604FC1" w:rsidRDefault="007F3EF7" w:rsidP="007F3EF7">
      <w:pPr>
        <w:pStyle w:val="a8"/>
        <w:numPr>
          <w:ilvl w:val="0"/>
          <w:numId w:val="4"/>
        </w:numPr>
        <w:ind w:left="851"/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肝細胞癌を合併している患者</w:t>
      </w:r>
    </w:p>
    <w:p w14:paraId="14068D70" w14:textId="77777777" w:rsidR="007F3EF7" w:rsidRPr="00604FC1" w:rsidRDefault="007F3EF7" w:rsidP="007F3EF7">
      <w:pPr>
        <w:pStyle w:val="a8"/>
        <w:ind w:left="851"/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（根治治療後で治療開始時に合併のないことが確認できれば登録可）</w:t>
      </w:r>
    </w:p>
    <w:p w14:paraId="5A6CC26D" w14:textId="77777777" w:rsidR="007F3EF7" w:rsidRPr="00604FC1" w:rsidRDefault="007F3EF7" w:rsidP="007F3EF7">
      <w:pPr>
        <w:pStyle w:val="a8"/>
        <w:numPr>
          <w:ilvl w:val="0"/>
          <w:numId w:val="4"/>
        </w:numPr>
        <w:ind w:left="851"/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妊婦、妊娠している可能性のある婦人又は授乳中の婦人</w:t>
      </w:r>
    </w:p>
    <w:p w14:paraId="196BA70B" w14:textId="77777777" w:rsidR="007F3EF7" w:rsidRPr="00604FC1" w:rsidRDefault="007F3EF7" w:rsidP="007F3EF7">
      <w:pPr>
        <w:pStyle w:val="a8"/>
        <w:numPr>
          <w:ilvl w:val="0"/>
          <w:numId w:val="4"/>
        </w:numPr>
        <w:ind w:left="851"/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担当医師が本研究の対象者として不適当であると認めた患者</w:t>
      </w:r>
    </w:p>
    <w:p w14:paraId="51F4037F" w14:textId="45B7C096" w:rsidR="007F3EF7" w:rsidRPr="00604FC1" w:rsidRDefault="007F3EF7" w:rsidP="007F3EF7">
      <w:pPr>
        <w:pStyle w:val="a8"/>
        <w:ind w:left="0"/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  <w:u w:val="single"/>
        </w:rPr>
        <w:t xml:space="preserve"> </w:t>
      </w:r>
      <w:r w:rsidRPr="00604FC1">
        <w:rPr>
          <w:rFonts w:asciiTheme="minorHAnsi" w:eastAsiaTheme="minorEastAsia" w:hAnsiTheme="minorHAnsi"/>
          <w:color w:val="000000"/>
          <w:szCs w:val="21"/>
          <w:u w:val="single"/>
        </w:rPr>
        <w:t>評価項目</w:t>
      </w:r>
    </w:p>
    <w:p w14:paraId="19370950" w14:textId="356412C2" w:rsidR="007F3EF7" w:rsidRPr="00604FC1" w:rsidRDefault="007F3EF7" w:rsidP="007F3EF7">
      <w:pPr>
        <w:pStyle w:val="a8"/>
        <w:rPr>
          <w:rFonts w:asciiTheme="minorHAnsi" w:eastAsiaTheme="minorEastAsia" w:hAnsiTheme="minorHAnsi"/>
          <w:color w:val="000000"/>
          <w:szCs w:val="21"/>
          <w:u w:val="single"/>
        </w:rPr>
      </w:pPr>
      <w:r w:rsidRPr="00604FC1">
        <w:rPr>
          <w:rFonts w:asciiTheme="minorHAnsi" w:eastAsiaTheme="minorEastAsia" w:hAnsiTheme="minorHAnsi"/>
          <w:color w:val="000000"/>
          <w:szCs w:val="21"/>
          <w:u w:val="single"/>
        </w:rPr>
        <w:t>有効性</w:t>
      </w:r>
    </w:p>
    <w:p w14:paraId="6F6D044C" w14:textId="77777777" w:rsidR="007F3EF7" w:rsidRPr="00604FC1" w:rsidRDefault="007F3EF7" w:rsidP="007F3EF7">
      <w:pPr>
        <w:pStyle w:val="a8"/>
        <w:ind w:leftChars="202" w:left="424"/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下記のウイルス学的効果、生化学的効果を評価する。</w:t>
      </w:r>
    </w:p>
    <w:p w14:paraId="444AC754" w14:textId="77777777" w:rsidR="007F3EF7" w:rsidRPr="00604FC1" w:rsidRDefault="007F3EF7" w:rsidP="007F3EF7">
      <w:pPr>
        <w:pStyle w:val="a8"/>
        <w:ind w:leftChars="202" w:left="424"/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 xml:space="preserve">　</w:t>
      </w:r>
      <w:r w:rsidRPr="00604FC1">
        <w:rPr>
          <w:rFonts w:asciiTheme="minorHAnsi" w:eastAsiaTheme="minorEastAsia" w:hAnsiTheme="minorHAnsi"/>
          <w:color w:val="000000"/>
          <w:szCs w:val="21"/>
        </w:rPr>
        <w:t xml:space="preserve">&lt; </w:t>
      </w:r>
      <w:r w:rsidRPr="00604FC1">
        <w:rPr>
          <w:rFonts w:asciiTheme="minorHAnsi" w:eastAsiaTheme="minorEastAsia" w:hAnsiTheme="minorHAnsi"/>
          <w:color w:val="000000"/>
          <w:szCs w:val="21"/>
        </w:rPr>
        <w:t>主要評価項目</w:t>
      </w:r>
      <w:r w:rsidRPr="00604FC1">
        <w:rPr>
          <w:rFonts w:asciiTheme="minorHAnsi" w:eastAsiaTheme="minorEastAsia" w:hAnsiTheme="minorHAnsi"/>
          <w:color w:val="000000"/>
          <w:szCs w:val="21"/>
        </w:rPr>
        <w:t xml:space="preserve"> &gt;</w:t>
      </w:r>
    </w:p>
    <w:p w14:paraId="03CDB4C4" w14:textId="77777777" w:rsidR="007F3EF7" w:rsidRPr="00604FC1" w:rsidRDefault="007F3EF7" w:rsidP="007F3EF7">
      <w:pPr>
        <w:pStyle w:val="a8"/>
        <w:numPr>
          <w:ilvl w:val="0"/>
          <w:numId w:val="5"/>
        </w:numPr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SVR24 (sustained viral response 24)</w:t>
      </w:r>
      <w:r w:rsidRPr="00604FC1">
        <w:rPr>
          <w:rFonts w:asciiTheme="minorHAnsi" w:eastAsiaTheme="minorEastAsia" w:hAnsiTheme="minorHAnsi"/>
          <w:color w:val="000000"/>
          <w:szCs w:val="21"/>
        </w:rPr>
        <w:t>：投与終了時かつ投与終了後</w:t>
      </w:r>
      <w:r w:rsidRPr="00604FC1">
        <w:rPr>
          <w:rFonts w:asciiTheme="minorHAnsi" w:eastAsiaTheme="minorEastAsia" w:hAnsiTheme="minorHAnsi"/>
          <w:color w:val="000000"/>
          <w:szCs w:val="21"/>
        </w:rPr>
        <w:t>24</w:t>
      </w:r>
      <w:r w:rsidRPr="00604FC1">
        <w:rPr>
          <w:rFonts w:asciiTheme="minorHAnsi" w:eastAsiaTheme="minorEastAsia" w:hAnsiTheme="minorHAnsi"/>
          <w:color w:val="000000"/>
          <w:szCs w:val="21"/>
        </w:rPr>
        <w:t>週時の</w:t>
      </w:r>
      <w:r w:rsidRPr="00604FC1">
        <w:rPr>
          <w:rFonts w:asciiTheme="minorHAnsi" w:eastAsiaTheme="minorEastAsia" w:hAnsiTheme="minorHAnsi"/>
          <w:color w:val="000000"/>
          <w:szCs w:val="21"/>
        </w:rPr>
        <w:t>HCV-RNA</w:t>
      </w:r>
      <w:r w:rsidRPr="00604FC1">
        <w:rPr>
          <w:rFonts w:asciiTheme="minorHAnsi" w:eastAsiaTheme="minorEastAsia" w:hAnsiTheme="minorHAnsi"/>
          <w:color w:val="000000"/>
          <w:szCs w:val="21"/>
        </w:rPr>
        <w:t>陰性化率</w:t>
      </w:r>
    </w:p>
    <w:p w14:paraId="059C6F1D" w14:textId="77777777" w:rsidR="007F3EF7" w:rsidRPr="00604FC1" w:rsidRDefault="007F3EF7" w:rsidP="007F3EF7">
      <w:pPr>
        <w:pStyle w:val="a8"/>
        <w:ind w:leftChars="202" w:left="424"/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 xml:space="preserve">　</w:t>
      </w:r>
      <w:r w:rsidRPr="00604FC1">
        <w:rPr>
          <w:rFonts w:asciiTheme="minorHAnsi" w:eastAsiaTheme="minorEastAsia" w:hAnsiTheme="minorHAnsi"/>
          <w:color w:val="000000"/>
          <w:szCs w:val="21"/>
        </w:rPr>
        <w:t xml:space="preserve">&lt; </w:t>
      </w:r>
      <w:r w:rsidRPr="00604FC1">
        <w:rPr>
          <w:rFonts w:asciiTheme="minorHAnsi" w:eastAsiaTheme="minorEastAsia" w:hAnsiTheme="minorHAnsi"/>
          <w:color w:val="000000"/>
          <w:szCs w:val="21"/>
        </w:rPr>
        <w:t>副次的評価項目</w:t>
      </w:r>
      <w:r w:rsidRPr="00604FC1">
        <w:rPr>
          <w:rFonts w:asciiTheme="minorHAnsi" w:eastAsiaTheme="minorEastAsia" w:hAnsiTheme="minorHAnsi"/>
          <w:color w:val="000000"/>
          <w:szCs w:val="21"/>
        </w:rPr>
        <w:t xml:space="preserve"> &gt;</w:t>
      </w:r>
    </w:p>
    <w:p w14:paraId="5D5F6FF1" w14:textId="77777777" w:rsidR="007F3EF7" w:rsidRPr="00604FC1" w:rsidRDefault="007F3EF7" w:rsidP="007F3EF7">
      <w:pPr>
        <w:pStyle w:val="a8"/>
        <w:numPr>
          <w:ilvl w:val="0"/>
          <w:numId w:val="2"/>
        </w:numPr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投与開始</w:t>
      </w:r>
      <w:r w:rsidRPr="00604FC1">
        <w:rPr>
          <w:rFonts w:asciiTheme="minorHAnsi" w:eastAsiaTheme="minorEastAsia" w:hAnsiTheme="minorHAnsi"/>
          <w:color w:val="000000"/>
          <w:szCs w:val="21"/>
        </w:rPr>
        <w:t>1</w:t>
      </w:r>
      <w:r w:rsidRPr="00604FC1">
        <w:rPr>
          <w:rFonts w:asciiTheme="minorHAnsi" w:eastAsiaTheme="minorEastAsia" w:hAnsiTheme="minorHAnsi"/>
          <w:color w:val="000000"/>
          <w:szCs w:val="21"/>
        </w:rPr>
        <w:t>、</w:t>
      </w:r>
      <w:r w:rsidRPr="00604FC1">
        <w:rPr>
          <w:rFonts w:asciiTheme="minorHAnsi" w:eastAsiaTheme="minorEastAsia" w:hAnsiTheme="minorHAnsi"/>
          <w:color w:val="000000"/>
          <w:szCs w:val="21"/>
        </w:rPr>
        <w:t>2</w:t>
      </w:r>
      <w:r w:rsidRPr="00604FC1">
        <w:rPr>
          <w:rFonts w:asciiTheme="minorHAnsi" w:eastAsiaTheme="minorEastAsia" w:hAnsiTheme="minorHAnsi"/>
          <w:color w:val="000000"/>
          <w:szCs w:val="21"/>
        </w:rPr>
        <w:t>、</w:t>
      </w:r>
      <w:r w:rsidRPr="00604FC1">
        <w:rPr>
          <w:rFonts w:asciiTheme="minorHAnsi" w:eastAsiaTheme="minorEastAsia" w:hAnsiTheme="minorHAnsi"/>
          <w:color w:val="000000"/>
          <w:szCs w:val="21"/>
        </w:rPr>
        <w:t>4</w:t>
      </w:r>
      <w:r w:rsidRPr="00604FC1">
        <w:rPr>
          <w:rFonts w:asciiTheme="minorHAnsi" w:eastAsiaTheme="minorEastAsia" w:hAnsiTheme="minorHAnsi"/>
          <w:color w:val="000000"/>
          <w:szCs w:val="21"/>
        </w:rPr>
        <w:t>、</w:t>
      </w:r>
      <w:r w:rsidRPr="00604FC1">
        <w:rPr>
          <w:rFonts w:asciiTheme="minorHAnsi" w:eastAsiaTheme="minorEastAsia" w:hAnsiTheme="minorHAnsi"/>
          <w:color w:val="000000"/>
          <w:szCs w:val="21"/>
        </w:rPr>
        <w:t>8</w:t>
      </w:r>
      <w:r w:rsidRPr="00604FC1">
        <w:rPr>
          <w:rFonts w:asciiTheme="minorHAnsi" w:eastAsiaTheme="minorEastAsia" w:hAnsiTheme="minorHAnsi"/>
          <w:color w:val="000000"/>
          <w:szCs w:val="21"/>
        </w:rPr>
        <w:t>、</w:t>
      </w:r>
      <w:r w:rsidRPr="00604FC1">
        <w:rPr>
          <w:rFonts w:asciiTheme="minorHAnsi" w:eastAsiaTheme="minorEastAsia" w:hAnsiTheme="minorHAnsi"/>
          <w:color w:val="000000"/>
          <w:szCs w:val="21"/>
        </w:rPr>
        <w:t>12</w:t>
      </w:r>
      <w:r w:rsidRPr="00604FC1">
        <w:rPr>
          <w:rFonts w:asciiTheme="minorHAnsi" w:eastAsiaTheme="minorEastAsia" w:hAnsiTheme="minorHAnsi"/>
          <w:color w:val="000000"/>
          <w:szCs w:val="21"/>
        </w:rPr>
        <w:t>週時、終了時点の</w:t>
      </w:r>
      <w:r w:rsidRPr="00604FC1">
        <w:rPr>
          <w:rFonts w:asciiTheme="minorHAnsi" w:eastAsiaTheme="minorEastAsia" w:hAnsiTheme="minorHAnsi"/>
          <w:color w:val="000000"/>
          <w:szCs w:val="21"/>
        </w:rPr>
        <w:t>HCV-RNA</w:t>
      </w:r>
      <w:r w:rsidRPr="00604FC1">
        <w:rPr>
          <w:rFonts w:asciiTheme="minorHAnsi" w:eastAsiaTheme="minorEastAsia" w:hAnsiTheme="minorHAnsi"/>
          <w:color w:val="000000"/>
          <w:szCs w:val="21"/>
        </w:rPr>
        <w:t>陰性化率</w:t>
      </w:r>
    </w:p>
    <w:p w14:paraId="31566A89" w14:textId="77777777" w:rsidR="007F3EF7" w:rsidRPr="00604FC1" w:rsidRDefault="007F3EF7" w:rsidP="007F3EF7">
      <w:pPr>
        <w:pStyle w:val="a8"/>
        <w:numPr>
          <w:ilvl w:val="0"/>
          <w:numId w:val="2"/>
        </w:numPr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投与終了時の</w:t>
      </w:r>
      <w:r w:rsidRPr="00604FC1">
        <w:rPr>
          <w:rFonts w:asciiTheme="minorHAnsi" w:eastAsiaTheme="minorEastAsia" w:hAnsiTheme="minorHAnsi"/>
          <w:color w:val="000000"/>
          <w:szCs w:val="21"/>
        </w:rPr>
        <w:t>HCV-RNA</w:t>
      </w:r>
      <w:r w:rsidRPr="00604FC1">
        <w:rPr>
          <w:rFonts w:asciiTheme="minorHAnsi" w:eastAsiaTheme="minorEastAsia" w:hAnsiTheme="minorHAnsi"/>
          <w:color w:val="000000"/>
          <w:szCs w:val="21"/>
        </w:rPr>
        <w:t>ウイルス陰性化率、終了後</w:t>
      </w:r>
      <w:r w:rsidRPr="00604FC1">
        <w:rPr>
          <w:rFonts w:asciiTheme="minorHAnsi" w:eastAsiaTheme="minorEastAsia" w:hAnsiTheme="minorHAnsi"/>
          <w:color w:val="000000"/>
          <w:szCs w:val="21"/>
        </w:rPr>
        <w:t>4</w:t>
      </w:r>
      <w:r w:rsidRPr="00604FC1">
        <w:rPr>
          <w:rFonts w:asciiTheme="minorHAnsi" w:eastAsiaTheme="minorEastAsia" w:hAnsiTheme="minorHAnsi"/>
          <w:color w:val="000000"/>
          <w:szCs w:val="21"/>
        </w:rPr>
        <w:t>、</w:t>
      </w:r>
      <w:r w:rsidRPr="00604FC1">
        <w:rPr>
          <w:rFonts w:asciiTheme="minorHAnsi" w:eastAsiaTheme="minorEastAsia" w:hAnsiTheme="minorHAnsi"/>
          <w:color w:val="000000"/>
          <w:szCs w:val="21"/>
        </w:rPr>
        <w:t>12</w:t>
      </w:r>
      <w:r w:rsidRPr="00604FC1">
        <w:rPr>
          <w:rFonts w:asciiTheme="minorHAnsi" w:eastAsiaTheme="minorEastAsia" w:hAnsiTheme="minorHAnsi"/>
          <w:color w:val="000000"/>
          <w:szCs w:val="21"/>
        </w:rPr>
        <w:t>週時の</w:t>
      </w:r>
      <w:r w:rsidRPr="00604FC1">
        <w:rPr>
          <w:rFonts w:asciiTheme="minorHAnsi" w:eastAsiaTheme="minorEastAsia" w:hAnsiTheme="minorHAnsi"/>
          <w:color w:val="000000"/>
          <w:szCs w:val="21"/>
        </w:rPr>
        <w:t>HCV-RNA</w:t>
      </w:r>
      <w:r w:rsidRPr="00604FC1">
        <w:rPr>
          <w:rFonts w:asciiTheme="minorHAnsi" w:eastAsiaTheme="minorEastAsia" w:hAnsiTheme="minorHAnsi"/>
          <w:color w:val="000000"/>
          <w:szCs w:val="21"/>
        </w:rPr>
        <w:t>ウイルス陰性化率</w:t>
      </w:r>
    </w:p>
    <w:p w14:paraId="5B41D885" w14:textId="77777777" w:rsidR="007F3EF7" w:rsidRPr="00604FC1" w:rsidRDefault="007F3EF7" w:rsidP="007F3EF7">
      <w:pPr>
        <w:pStyle w:val="a8"/>
        <w:numPr>
          <w:ilvl w:val="0"/>
          <w:numId w:val="2"/>
        </w:numPr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HCV-RNA</w:t>
      </w:r>
      <w:r w:rsidRPr="00604FC1">
        <w:rPr>
          <w:rFonts w:asciiTheme="minorHAnsi" w:eastAsiaTheme="minorEastAsia" w:hAnsiTheme="minorHAnsi"/>
          <w:color w:val="000000"/>
          <w:szCs w:val="21"/>
        </w:rPr>
        <w:t>陰性化時期とウイルス学的効果（</w:t>
      </w:r>
      <w:r w:rsidRPr="00604FC1">
        <w:rPr>
          <w:rFonts w:asciiTheme="minorHAnsi" w:eastAsiaTheme="minorEastAsia" w:hAnsiTheme="minorHAnsi"/>
          <w:color w:val="000000"/>
          <w:szCs w:val="21"/>
        </w:rPr>
        <w:t>SVR</w:t>
      </w:r>
      <w:r w:rsidRPr="00604FC1">
        <w:rPr>
          <w:rFonts w:asciiTheme="minorHAnsi" w:eastAsiaTheme="minorEastAsia" w:hAnsiTheme="minorHAnsi"/>
          <w:color w:val="000000"/>
          <w:szCs w:val="21"/>
        </w:rPr>
        <w:t>）との関係</w:t>
      </w:r>
    </w:p>
    <w:p w14:paraId="081C3C7D" w14:textId="77777777" w:rsidR="007F3EF7" w:rsidRPr="00604FC1" w:rsidRDefault="007F3EF7" w:rsidP="007F3EF7">
      <w:pPr>
        <w:pStyle w:val="a8"/>
        <w:numPr>
          <w:ilvl w:val="0"/>
          <w:numId w:val="2"/>
        </w:numPr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背景因子別のウイルス学的効果（背景因子：年齢、性、前治療の有無、服薬率、ウイルス変異、肝線維化進行度、腎機能）</w:t>
      </w:r>
    </w:p>
    <w:p w14:paraId="3E49368A" w14:textId="77777777" w:rsidR="007F3EF7" w:rsidRPr="00604FC1" w:rsidRDefault="007F3EF7" w:rsidP="007F3EF7">
      <w:pPr>
        <w:pStyle w:val="a8"/>
        <w:numPr>
          <w:ilvl w:val="0"/>
          <w:numId w:val="2"/>
        </w:numPr>
        <w:rPr>
          <w:rFonts w:asciiTheme="minorHAnsi" w:eastAsiaTheme="minorEastAsia" w:hAnsiTheme="minorHAnsi"/>
          <w:color w:val="000000"/>
          <w:szCs w:val="21"/>
          <w:u w:val="single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生化学的効果：投与終了後</w:t>
      </w:r>
      <w:r w:rsidRPr="00604FC1">
        <w:rPr>
          <w:rFonts w:asciiTheme="minorHAnsi" w:eastAsiaTheme="minorEastAsia" w:hAnsiTheme="minorHAnsi"/>
          <w:color w:val="000000"/>
          <w:szCs w:val="21"/>
        </w:rPr>
        <w:t>24</w:t>
      </w:r>
      <w:r w:rsidRPr="00604FC1">
        <w:rPr>
          <w:rFonts w:asciiTheme="minorHAnsi" w:eastAsiaTheme="minorEastAsia" w:hAnsiTheme="minorHAnsi"/>
          <w:color w:val="000000"/>
          <w:szCs w:val="21"/>
        </w:rPr>
        <w:t>週時における生化学的効果（</w:t>
      </w:r>
      <w:r w:rsidRPr="00604FC1">
        <w:rPr>
          <w:rFonts w:asciiTheme="minorHAnsi" w:eastAsiaTheme="minorEastAsia" w:hAnsiTheme="minorHAnsi"/>
          <w:color w:val="000000"/>
          <w:szCs w:val="21"/>
        </w:rPr>
        <w:t>ALT</w:t>
      </w:r>
      <w:r w:rsidRPr="00604FC1">
        <w:rPr>
          <w:rFonts w:asciiTheme="minorHAnsi" w:eastAsiaTheme="minorEastAsia" w:hAnsiTheme="minorHAnsi"/>
          <w:color w:val="000000"/>
          <w:szCs w:val="21"/>
        </w:rPr>
        <w:t>正常化）</w:t>
      </w:r>
    </w:p>
    <w:p w14:paraId="19BE2FA4" w14:textId="77777777" w:rsidR="007F3EF7" w:rsidRPr="00604FC1" w:rsidRDefault="007F3EF7" w:rsidP="007F3EF7">
      <w:pPr>
        <w:pStyle w:val="a8"/>
        <w:numPr>
          <w:ilvl w:val="0"/>
          <w:numId w:val="2"/>
        </w:numPr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最終効果</w:t>
      </w:r>
      <w:r w:rsidRPr="00604FC1">
        <w:rPr>
          <w:rFonts w:asciiTheme="minorHAnsi" w:eastAsiaTheme="minorEastAsia" w:hAnsiTheme="minorHAnsi"/>
          <w:color w:val="000000"/>
          <w:szCs w:val="21"/>
        </w:rPr>
        <w:t>(SVR</w:t>
      </w:r>
      <w:r w:rsidRPr="00604FC1">
        <w:rPr>
          <w:rFonts w:asciiTheme="minorHAnsi" w:eastAsiaTheme="minorEastAsia" w:hAnsiTheme="minorHAnsi"/>
          <w:color w:val="000000"/>
          <w:szCs w:val="21"/>
        </w:rPr>
        <w:t>、</w:t>
      </w:r>
      <w:r w:rsidRPr="00604FC1">
        <w:rPr>
          <w:rFonts w:asciiTheme="minorHAnsi" w:eastAsiaTheme="minorEastAsia" w:hAnsiTheme="minorHAnsi"/>
          <w:color w:val="000000"/>
          <w:szCs w:val="21"/>
        </w:rPr>
        <w:t>relapse</w:t>
      </w:r>
      <w:r w:rsidRPr="00604FC1">
        <w:rPr>
          <w:rFonts w:asciiTheme="minorHAnsi" w:eastAsiaTheme="minorEastAsia" w:hAnsiTheme="minorHAnsi"/>
          <w:color w:val="000000"/>
          <w:szCs w:val="21"/>
        </w:rPr>
        <w:t>、</w:t>
      </w:r>
      <w:r w:rsidRPr="00604FC1">
        <w:rPr>
          <w:rFonts w:asciiTheme="minorHAnsi" w:eastAsiaTheme="minorEastAsia" w:hAnsiTheme="minorHAnsi"/>
          <w:color w:val="000000"/>
          <w:szCs w:val="21"/>
        </w:rPr>
        <w:t>breakthrough</w:t>
      </w:r>
      <w:r w:rsidRPr="00604FC1">
        <w:rPr>
          <w:rFonts w:asciiTheme="minorHAnsi" w:eastAsiaTheme="minorEastAsia" w:hAnsiTheme="minorHAnsi"/>
          <w:color w:val="000000"/>
          <w:szCs w:val="21"/>
        </w:rPr>
        <w:t>、</w:t>
      </w:r>
      <w:r w:rsidRPr="00604FC1">
        <w:rPr>
          <w:rFonts w:asciiTheme="minorHAnsi" w:eastAsiaTheme="minorEastAsia" w:hAnsiTheme="minorHAnsi"/>
          <w:color w:val="000000"/>
          <w:szCs w:val="21"/>
        </w:rPr>
        <w:t>partial responder</w:t>
      </w:r>
      <w:r w:rsidRPr="00604FC1">
        <w:rPr>
          <w:rFonts w:asciiTheme="minorHAnsi" w:eastAsiaTheme="minorEastAsia" w:hAnsiTheme="minorHAnsi"/>
          <w:color w:val="000000"/>
          <w:szCs w:val="21"/>
        </w:rPr>
        <w:t>、</w:t>
      </w:r>
      <w:r w:rsidRPr="00604FC1">
        <w:rPr>
          <w:rFonts w:asciiTheme="minorHAnsi" w:eastAsiaTheme="minorEastAsia" w:hAnsiTheme="minorHAnsi"/>
          <w:color w:val="000000"/>
          <w:szCs w:val="21"/>
        </w:rPr>
        <w:t>null responder)</w:t>
      </w:r>
    </w:p>
    <w:p w14:paraId="30366272" w14:textId="5B307544" w:rsidR="007F3EF7" w:rsidRPr="00604FC1" w:rsidRDefault="007F3EF7" w:rsidP="007F3EF7">
      <w:pPr>
        <w:pStyle w:val="a8"/>
        <w:rPr>
          <w:rFonts w:asciiTheme="minorHAnsi" w:eastAsiaTheme="minorEastAsia" w:hAnsiTheme="minorHAnsi"/>
          <w:color w:val="000000"/>
          <w:szCs w:val="21"/>
          <w:u w:val="single"/>
        </w:rPr>
      </w:pPr>
      <w:r w:rsidRPr="00604FC1">
        <w:rPr>
          <w:rFonts w:asciiTheme="minorHAnsi" w:eastAsiaTheme="minorEastAsia" w:hAnsiTheme="minorHAnsi"/>
          <w:color w:val="000000"/>
          <w:szCs w:val="21"/>
          <w:u w:val="single"/>
        </w:rPr>
        <w:t xml:space="preserve"> </w:t>
      </w:r>
      <w:r w:rsidRPr="00604FC1">
        <w:rPr>
          <w:rFonts w:asciiTheme="minorHAnsi" w:eastAsiaTheme="minorEastAsia" w:hAnsiTheme="minorHAnsi"/>
          <w:color w:val="000000"/>
          <w:szCs w:val="21"/>
          <w:u w:val="single"/>
        </w:rPr>
        <w:t>安全性</w:t>
      </w:r>
    </w:p>
    <w:p w14:paraId="316B8E46" w14:textId="77777777" w:rsidR="007F3EF7" w:rsidRPr="00604FC1" w:rsidRDefault="007F3EF7" w:rsidP="007F3EF7">
      <w:pPr>
        <w:pStyle w:val="a8"/>
        <w:numPr>
          <w:ilvl w:val="0"/>
          <w:numId w:val="3"/>
        </w:numPr>
        <w:ind w:left="1276"/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有害事象、臨床検査値</w:t>
      </w:r>
    </w:p>
    <w:p w14:paraId="063DEBA0" w14:textId="77777777" w:rsidR="007F3EF7" w:rsidRPr="00604FC1" w:rsidRDefault="007F3EF7" w:rsidP="007F3EF7">
      <w:pPr>
        <w:pStyle w:val="a8"/>
        <w:numPr>
          <w:ilvl w:val="0"/>
          <w:numId w:val="3"/>
        </w:numPr>
        <w:ind w:left="1276"/>
        <w:rPr>
          <w:rFonts w:asciiTheme="minorHAnsi" w:eastAsiaTheme="minorEastAsia" w:hAnsiTheme="minorHAnsi"/>
          <w:color w:val="000000"/>
          <w:szCs w:val="21"/>
          <w:u w:val="single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投与継続率、減量率、中止率</w:t>
      </w:r>
    </w:p>
    <w:p w14:paraId="09D07501" w14:textId="77777777" w:rsidR="007F3EF7" w:rsidRDefault="007F3EF7" w:rsidP="007F3EF7">
      <w:pPr>
        <w:pStyle w:val="a8"/>
        <w:ind w:left="0"/>
        <w:rPr>
          <w:rFonts w:asciiTheme="minorHAnsi" w:eastAsiaTheme="minorEastAsia" w:hAnsiTheme="minorHAnsi"/>
          <w:color w:val="000000"/>
          <w:szCs w:val="21"/>
          <w:u w:val="single"/>
        </w:rPr>
      </w:pPr>
    </w:p>
    <w:p w14:paraId="5A0DAF74" w14:textId="6D0F94E8" w:rsidR="007F3EF7" w:rsidRPr="00604FC1" w:rsidRDefault="007F3EF7" w:rsidP="007F3EF7">
      <w:pPr>
        <w:pStyle w:val="a8"/>
        <w:ind w:left="0"/>
        <w:rPr>
          <w:rFonts w:asciiTheme="minorHAnsi" w:eastAsiaTheme="minorEastAsia" w:hAnsiTheme="minorHAnsi"/>
          <w:color w:val="000000"/>
          <w:szCs w:val="21"/>
          <w:u w:val="single"/>
        </w:rPr>
      </w:pPr>
      <w:r w:rsidRPr="00604FC1">
        <w:rPr>
          <w:rFonts w:asciiTheme="minorHAnsi" w:eastAsiaTheme="minorEastAsia" w:hAnsiTheme="minorHAnsi"/>
          <w:color w:val="000000"/>
          <w:szCs w:val="21"/>
          <w:u w:val="single"/>
        </w:rPr>
        <w:t xml:space="preserve"> </w:t>
      </w:r>
      <w:r w:rsidRPr="00604FC1">
        <w:rPr>
          <w:rFonts w:asciiTheme="minorHAnsi" w:eastAsiaTheme="minorEastAsia" w:hAnsiTheme="minorHAnsi"/>
          <w:color w:val="000000"/>
          <w:szCs w:val="21"/>
          <w:u w:val="single"/>
        </w:rPr>
        <w:t>治療内容、投与方法</w:t>
      </w:r>
    </w:p>
    <w:p w14:paraId="5A10E17C" w14:textId="77777777" w:rsidR="007F3EF7" w:rsidRPr="00604FC1" w:rsidRDefault="007F3EF7" w:rsidP="007F3EF7">
      <w:pPr>
        <w:pStyle w:val="a8"/>
        <w:ind w:leftChars="200" w:left="420" w:firstLineChars="100" w:firstLine="210"/>
        <w:rPr>
          <w:rFonts w:asciiTheme="minorHAnsi" w:eastAsiaTheme="minorEastAsia" w:hAnsiTheme="minorHAnsi"/>
          <w:color w:val="000000"/>
          <w:szCs w:val="21"/>
        </w:rPr>
      </w:pPr>
      <w:r w:rsidRPr="00604FC1">
        <w:rPr>
          <w:rFonts w:asciiTheme="minorHAnsi" w:eastAsiaTheme="minorEastAsia" w:hAnsiTheme="minorHAnsi"/>
          <w:color w:val="000000"/>
          <w:szCs w:val="21"/>
        </w:rPr>
        <w:t>DCV(</w:t>
      </w:r>
      <w:r w:rsidRPr="00604FC1">
        <w:rPr>
          <w:rFonts w:asciiTheme="minorHAnsi" w:eastAsiaTheme="minorEastAsia" w:hAnsiTheme="minorHAnsi"/>
          <w:color w:val="000000"/>
          <w:szCs w:val="21"/>
        </w:rPr>
        <w:t>ダクルインザ</w:t>
      </w:r>
      <w:r w:rsidRPr="00604FC1">
        <w:rPr>
          <w:rFonts w:asciiTheme="minorHAnsi" w:eastAsiaTheme="minorEastAsia" w:hAnsiTheme="minorHAnsi"/>
          <w:color w:val="000000"/>
          <w:szCs w:val="21"/>
        </w:rPr>
        <w:t>®</w:t>
      </w:r>
      <w:r w:rsidRPr="00604FC1">
        <w:rPr>
          <w:rFonts w:asciiTheme="minorHAnsi" w:eastAsiaTheme="minorEastAsia" w:hAnsiTheme="minorHAnsi"/>
          <w:color w:val="000000"/>
          <w:szCs w:val="21"/>
        </w:rPr>
        <w:t>錠</w:t>
      </w:r>
      <w:r w:rsidRPr="00604FC1">
        <w:rPr>
          <w:rFonts w:asciiTheme="minorHAnsi" w:eastAsiaTheme="minorEastAsia" w:hAnsiTheme="minorHAnsi"/>
          <w:color w:val="000000"/>
          <w:szCs w:val="21"/>
        </w:rPr>
        <w:t>60mg)</w:t>
      </w:r>
      <w:r w:rsidRPr="00604FC1">
        <w:rPr>
          <w:rFonts w:asciiTheme="minorHAnsi" w:eastAsiaTheme="minorEastAsia" w:hAnsiTheme="minorHAnsi"/>
          <w:color w:val="000000"/>
          <w:szCs w:val="21"/>
        </w:rPr>
        <w:t>を</w:t>
      </w:r>
      <w:r w:rsidRPr="00604FC1">
        <w:rPr>
          <w:rFonts w:asciiTheme="minorHAnsi" w:eastAsiaTheme="minorEastAsia" w:hAnsiTheme="minorHAnsi"/>
          <w:color w:val="000000"/>
          <w:szCs w:val="21"/>
        </w:rPr>
        <w:t>1</w:t>
      </w:r>
      <w:r w:rsidRPr="00604FC1">
        <w:rPr>
          <w:rFonts w:asciiTheme="minorHAnsi" w:eastAsiaTheme="minorEastAsia" w:hAnsiTheme="minorHAnsi"/>
          <w:color w:val="000000"/>
          <w:szCs w:val="21"/>
        </w:rPr>
        <w:t>日</w:t>
      </w:r>
      <w:r w:rsidRPr="00604FC1">
        <w:rPr>
          <w:rFonts w:asciiTheme="minorHAnsi" w:eastAsiaTheme="minorEastAsia" w:hAnsiTheme="minorHAnsi"/>
          <w:color w:val="000000"/>
          <w:szCs w:val="21"/>
        </w:rPr>
        <w:t>1</w:t>
      </w:r>
      <w:r w:rsidRPr="00604FC1">
        <w:rPr>
          <w:rFonts w:asciiTheme="minorHAnsi" w:eastAsiaTheme="minorEastAsia" w:hAnsiTheme="minorHAnsi"/>
          <w:color w:val="000000"/>
          <w:szCs w:val="21"/>
        </w:rPr>
        <w:t>回</w:t>
      </w:r>
      <w:r w:rsidRPr="00604FC1">
        <w:rPr>
          <w:rFonts w:asciiTheme="minorHAnsi" w:eastAsiaTheme="minorEastAsia" w:hAnsiTheme="minorHAnsi"/>
          <w:color w:val="000000"/>
          <w:szCs w:val="21"/>
        </w:rPr>
        <w:t>1</w:t>
      </w:r>
      <w:r w:rsidRPr="00604FC1">
        <w:rPr>
          <w:rFonts w:asciiTheme="minorHAnsi" w:eastAsiaTheme="minorEastAsia" w:hAnsiTheme="minorHAnsi"/>
          <w:color w:val="000000"/>
          <w:szCs w:val="21"/>
        </w:rPr>
        <w:t>錠、</w:t>
      </w:r>
      <w:r w:rsidRPr="00604FC1">
        <w:rPr>
          <w:rFonts w:asciiTheme="minorHAnsi" w:eastAsiaTheme="minorEastAsia" w:hAnsiTheme="minorHAnsi"/>
          <w:color w:val="000000"/>
          <w:szCs w:val="21"/>
        </w:rPr>
        <w:t>ASV</w:t>
      </w:r>
      <w:r w:rsidRPr="00604FC1">
        <w:rPr>
          <w:rFonts w:asciiTheme="minorHAnsi" w:eastAsiaTheme="minorEastAsia" w:hAnsiTheme="minorHAnsi"/>
          <w:color w:val="000000"/>
          <w:szCs w:val="21"/>
        </w:rPr>
        <w:t>（スンベプラ</w:t>
      </w:r>
      <w:r w:rsidRPr="00604FC1">
        <w:rPr>
          <w:rFonts w:asciiTheme="minorHAnsi" w:eastAsiaTheme="minorEastAsia" w:hAnsiTheme="minorHAnsi"/>
          <w:color w:val="000000"/>
          <w:szCs w:val="21"/>
        </w:rPr>
        <w:t>®</w:t>
      </w:r>
      <w:r w:rsidRPr="00604FC1">
        <w:rPr>
          <w:rFonts w:asciiTheme="minorHAnsi" w:eastAsiaTheme="minorEastAsia" w:hAnsiTheme="minorHAnsi"/>
          <w:color w:val="000000"/>
          <w:szCs w:val="21"/>
        </w:rPr>
        <w:t>カプセル</w:t>
      </w:r>
      <w:r w:rsidRPr="00604FC1">
        <w:rPr>
          <w:rFonts w:asciiTheme="minorHAnsi" w:eastAsiaTheme="minorEastAsia" w:hAnsiTheme="minorHAnsi"/>
          <w:color w:val="000000"/>
          <w:szCs w:val="21"/>
        </w:rPr>
        <w:t>100mg</w:t>
      </w:r>
      <w:r w:rsidRPr="00604FC1">
        <w:rPr>
          <w:rFonts w:asciiTheme="minorHAnsi" w:eastAsiaTheme="minorEastAsia" w:hAnsiTheme="minorHAnsi"/>
          <w:color w:val="000000"/>
          <w:szCs w:val="21"/>
        </w:rPr>
        <w:t>）を</w:t>
      </w:r>
      <w:r w:rsidRPr="00604FC1">
        <w:rPr>
          <w:rFonts w:asciiTheme="minorHAnsi" w:eastAsiaTheme="minorEastAsia" w:hAnsiTheme="minorHAnsi"/>
          <w:color w:val="000000"/>
          <w:szCs w:val="21"/>
        </w:rPr>
        <w:t>1</w:t>
      </w:r>
      <w:r w:rsidRPr="00604FC1">
        <w:rPr>
          <w:rFonts w:asciiTheme="minorHAnsi" w:eastAsiaTheme="minorEastAsia" w:hAnsiTheme="minorHAnsi"/>
          <w:color w:val="000000"/>
          <w:szCs w:val="21"/>
        </w:rPr>
        <w:t>日</w:t>
      </w:r>
      <w:r w:rsidRPr="00604FC1">
        <w:rPr>
          <w:rFonts w:asciiTheme="minorHAnsi" w:eastAsiaTheme="minorEastAsia" w:hAnsiTheme="minorHAnsi"/>
          <w:color w:val="000000"/>
          <w:szCs w:val="21"/>
        </w:rPr>
        <w:t>2</w:t>
      </w:r>
      <w:r w:rsidRPr="00604FC1">
        <w:rPr>
          <w:rFonts w:asciiTheme="minorHAnsi" w:eastAsiaTheme="minorEastAsia" w:hAnsiTheme="minorHAnsi"/>
          <w:color w:val="000000"/>
          <w:szCs w:val="21"/>
        </w:rPr>
        <w:t>回</w:t>
      </w:r>
      <w:r w:rsidRPr="00604FC1">
        <w:rPr>
          <w:rFonts w:asciiTheme="minorHAnsi" w:eastAsiaTheme="minorEastAsia" w:hAnsiTheme="minorHAnsi"/>
          <w:color w:val="000000"/>
          <w:szCs w:val="21"/>
        </w:rPr>
        <w:t>24</w:t>
      </w:r>
      <w:r w:rsidRPr="00604FC1">
        <w:rPr>
          <w:rFonts w:asciiTheme="minorHAnsi" w:eastAsiaTheme="minorEastAsia" w:hAnsiTheme="minorHAnsi"/>
          <w:color w:val="000000"/>
          <w:szCs w:val="21"/>
        </w:rPr>
        <w:t>週間経口投与する</w:t>
      </w:r>
    </w:p>
    <w:p w14:paraId="2F963EEE" w14:textId="77777777" w:rsidR="007F3EF7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jc w:val="left"/>
        <w:rPr>
          <w:color w:val="000000" w:themeColor="text1"/>
          <w:szCs w:val="21"/>
          <w:u w:val="single"/>
        </w:rPr>
      </w:pPr>
    </w:p>
    <w:p w14:paraId="21FA8EC2" w14:textId="0B5D2356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jc w:val="left"/>
        <w:rPr>
          <w:color w:val="000000" w:themeColor="text1"/>
          <w:szCs w:val="21"/>
          <w:u w:val="single"/>
        </w:rPr>
      </w:pPr>
      <w:r w:rsidRPr="00604FC1">
        <w:rPr>
          <w:color w:val="000000" w:themeColor="text1"/>
          <w:szCs w:val="21"/>
          <w:u w:val="single"/>
        </w:rPr>
        <w:t>検査スケジュール</w:t>
      </w:r>
    </w:p>
    <w:tbl>
      <w:tblPr>
        <w:tblpPr w:leftFromText="142" w:rightFromText="142" w:vertAnchor="page" w:horzAnchor="margin" w:tblpXSpec="center" w:tblpY="3033"/>
        <w:tblW w:w="7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614"/>
        <w:gridCol w:w="658"/>
        <w:gridCol w:w="482"/>
        <w:gridCol w:w="9"/>
        <w:gridCol w:w="582"/>
        <w:gridCol w:w="39"/>
        <w:gridCol w:w="543"/>
        <w:gridCol w:w="39"/>
        <w:gridCol w:w="542"/>
        <w:gridCol w:w="39"/>
        <w:gridCol w:w="543"/>
        <w:gridCol w:w="39"/>
        <w:gridCol w:w="546"/>
        <w:gridCol w:w="39"/>
        <w:gridCol w:w="546"/>
        <w:gridCol w:w="39"/>
        <w:gridCol w:w="527"/>
        <w:gridCol w:w="38"/>
        <w:gridCol w:w="39"/>
      </w:tblGrid>
      <w:tr w:rsidR="007F3EF7" w:rsidRPr="00570E3B" w14:paraId="5BA07319" w14:textId="77777777" w:rsidTr="00620AC6">
        <w:trPr>
          <w:gridAfter w:val="2"/>
          <w:wAfter w:w="77" w:type="dxa"/>
        </w:trPr>
        <w:tc>
          <w:tcPr>
            <w:tcW w:w="1370" w:type="dxa"/>
            <w:vMerge w:val="restart"/>
            <w:vAlign w:val="center"/>
          </w:tcPr>
          <w:p w14:paraId="244370DD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vAlign w:val="center"/>
          </w:tcPr>
          <w:p w14:paraId="4A4D843C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投与前</w:t>
            </w:r>
          </w:p>
        </w:tc>
        <w:tc>
          <w:tcPr>
            <w:tcW w:w="658" w:type="dxa"/>
            <w:vMerge w:val="restart"/>
            <w:vAlign w:val="center"/>
          </w:tcPr>
          <w:p w14:paraId="1AD6C33F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直前</w:t>
            </w:r>
          </w:p>
        </w:tc>
        <w:tc>
          <w:tcPr>
            <w:tcW w:w="4554" w:type="dxa"/>
            <w:gridSpan w:val="15"/>
            <w:vAlign w:val="center"/>
          </w:tcPr>
          <w:p w14:paraId="3C0D0C5F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終了後(週)</w:t>
            </w:r>
          </w:p>
        </w:tc>
      </w:tr>
      <w:tr w:rsidR="007F3EF7" w:rsidRPr="00570E3B" w14:paraId="1DD3F5C6" w14:textId="77777777" w:rsidTr="00620AC6">
        <w:trPr>
          <w:gridAfter w:val="1"/>
          <w:wAfter w:w="39" w:type="dxa"/>
        </w:trPr>
        <w:tc>
          <w:tcPr>
            <w:tcW w:w="1370" w:type="dxa"/>
            <w:vMerge/>
            <w:vAlign w:val="center"/>
          </w:tcPr>
          <w:p w14:paraId="356C7713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14:paraId="1D20EA72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14:paraId="12CEE964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26DC49DE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1週</w:t>
            </w:r>
          </w:p>
        </w:tc>
        <w:tc>
          <w:tcPr>
            <w:tcW w:w="582" w:type="dxa"/>
            <w:vAlign w:val="center"/>
          </w:tcPr>
          <w:p w14:paraId="6C0A8763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2週</w:t>
            </w:r>
          </w:p>
        </w:tc>
        <w:tc>
          <w:tcPr>
            <w:tcW w:w="582" w:type="dxa"/>
            <w:gridSpan w:val="2"/>
            <w:vAlign w:val="center"/>
          </w:tcPr>
          <w:p w14:paraId="6AF8D494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4週</w:t>
            </w:r>
          </w:p>
        </w:tc>
        <w:tc>
          <w:tcPr>
            <w:tcW w:w="581" w:type="dxa"/>
            <w:gridSpan w:val="2"/>
            <w:vAlign w:val="center"/>
          </w:tcPr>
          <w:p w14:paraId="67001618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8週</w:t>
            </w:r>
          </w:p>
        </w:tc>
        <w:tc>
          <w:tcPr>
            <w:tcW w:w="582" w:type="dxa"/>
            <w:gridSpan w:val="2"/>
            <w:vAlign w:val="center"/>
          </w:tcPr>
          <w:p w14:paraId="095C78F4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12週</w:t>
            </w:r>
          </w:p>
        </w:tc>
        <w:tc>
          <w:tcPr>
            <w:tcW w:w="585" w:type="dxa"/>
            <w:gridSpan w:val="2"/>
            <w:vAlign w:val="center"/>
          </w:tcPr>
          <w:p w14:paraId="3B98E123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終了時</w:t>
            </w:r>
          </w:p>
        </w:tc>
        <w:tc>
          <w:tcPr>
            <w:tcW w:w="585" w:type="dxa"/>
            <w:gridSpan w:val="2"/>
            <w:vAlign w:val="center"/>
          </w:tcPr>
          <w:p w14:paraId="7301D3E7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4週毎</w:t>
            </w:r>
          </w:p>
        </w:tc>
        <w:tc>
          <w:tcPr>
            <w:tcW w:w="604" w:type="dxa"/>
            <w:gridSpan w:val="3"/>
            <w:vAlign w:val="center"/>
          </w:tcPr>
          <w:p w14:paraId="282B3D1B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24</w:t>
            </w:r>
          </w:p>
        </w:tc>
      </w:tr>
      <w:tr w:rsidR="007F3EF7" w:rsidRPr="00570E3B" w14:paraId="6C90911C" w14:textId="77777777" w:rsidTr="00620AC6">
        <w:trPr>
          <w:gridAfter w:val="1"/>
          <w:wAfter w:w="39" w:type="dxa"/>
        </w:trPr>
        <w:tc>
          <w:tcPr>
            <w:tcW w:w="1370" w:type="dxa"/>
            <w:vAlign w:val="center"/>
          </w:tcPr>
          <w:p w14:paraId="678872E9" w14:textId="77777777" w:rsidR="007F3EF7" w:rsidRPr="00570E3B" w:rsidRDefault="007F3EF7" w:rsidP="00620AC6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同意</w:t>
            </w:r>
          </w:p>
          <w:p w14:paraId="78AD4782" w14:textId="77777777" w:rsidR="007F3EF7" w:rsidRPr="00570E3B" w:rsidRDefault="007F3EF7" w:rsidP="00620AC6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背景調査</w:t>
            </w:r>
          </w:p>
        </w:tc>
        <w:tc>
          <w:tcPr>
            <w:tcW w:w="614" w:type="dxa"/>
            <w:vAlign w:val="center"/>
          </w:tcPr>
          <w:p w14:paraId="2A9D3187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58" w:type="dxa"/>
            <w:vAlign w:val="center"/>
          </w:tcPr>
          <w:p w14:paraId="6B81BFB6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491" w:type="dxa"/>
            <w:gridSpan w:val="2"/>
            <w:vAlign w:val="center"/>
          </w:tcPr>
          <w:p w14:paraId="6BA4A7BE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26C42354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4D8C185E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Align w:val="center"/>
          </w:tcPr>
          <w:p w14:paraId="128FB999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2ECFE831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790B6FD2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46CDCB31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5FF8F309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F3EF7" w:rsidRPr="00570E3B" w14:paraId="2FEC6AF0" w14:textId="77777777" w:rsidTr="00620AC6">
        <w:trPr>
          <w:gridAfter w:val="1"/>
          <w:wAfter w:w="39" w:type="dxa"/>
        </w:trPr>
        <w:tc>
          <w:tcPr>
            <w:tcW w:w="1370" w:type="dxa"/>
            <w:vAlign w:val="center"/>
          </w:tcPr>
          <w:p w14:paraId="011BCE25" w14:textId="77777777" w:rsidR="007F3EF7" w:rsidRPr="00570E3B" w:rsidRDefault="007F3EF7" w:rsidP="00620AC6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血液生化学</w:t>
            </w:r>
          </w:p>
        </w:tc>
        <w:tc>
          <w:tcPr>
            <w:tcW w:w="614" w:type="dxa"/>
            <w:vAlign w:val="center"/>
          </w:tcPr>
          <w:p w14:paraId="22C0155E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58" w:type="dxa"/>
            <w:vAlign w:val="center"/>
          </w:tcPr>
          <w:p w14:paraId="3E008C45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2818" w:type="dxa"/>
            <w:gridSpan w:val="9"/>
            <w:vAlign w:val="center"/>
          </w:tcPr>
          <w:p w14:paraId="3611FF3B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投与開始後1週間は週2回以上</w:t>
            </w:r>
          </w:p>
          <w:p w14:paraId="6B795997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以降は1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～</w:t>
            </w: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4週に1回</w:t>
            </w:r>
          </w:p>
        </w:tc>
        <w:tc>
          <w:tcPr>
            <w:tcW w:w="585" w:type="dxa"/>
            <w:gridSpan w:val="2"/>
            <w:vAlign w:val="center"/>
          </w:tcPr>
          <w:p w14:paraId="296EE9EC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5" w:type="dxa"/>
            <w:gridSpan w:val="2"/>
            <w:vAlign w:val="center"/>
          </w:tcPr>
          <w:p w14:paraId="1F10C426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04" w:type="dxa"/>
            <w:gridSpan w:val="3"/>
            <w:vAlign w:val="center"/>
          </w:tcPr>
          <w:p w14:paraId="6141AF3C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</w:tr>
      <w:tr w:rsidR="007F3EF7" w:rsidRPr="00570E3B" w14:paraId="23C6905D" w14:textId="77777777" w:rsidTr="00620AC6">
        <w:trPr>
          <w:gridAfter w:val="1"/>
          <w:wAfter w:w="39" w:type="dxa"/>
        </w:trPr>
        <w:tc>
          <w:tcPr>
            <w:tcW w:w="1370" w:type="dxa"/>
            <w:vAlign w:val="center"/>
          </w:tcPr>
          <w:p w14:paraId="1BCF405F" w14:textId="77777777" w:rsidR="007F3EF7" w:rsidRPr="00570E3B" w:rsidRDefault="007F3EF7" w:rsidP="00620AC6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糖・脂質代謝</w:t>
            </w:r>
          </w:p>
        </w:tc>
        <w:tc>
          <w:tcPr>
            <w:tcW w:w="614" w:type="dxa"/>
            <w:vAlign w:val="center"/>
          </w:tcPr>
          <w:p w14:paraId="78E5456A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58" w:type="dxa"/>
            <w:vAlign w:val="center"/>
          </w:tcPr>
          <w:p w14:paraId="0EA4E999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491" w:type="dxa"/>
            <w:gridSpan w:val="2"/>
            <w:vAlign w:val="center"/>
          </w:tcPr>
          <w:p w14:paraId="67A2503F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58ED6D88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2" w:type="dxa"/>
            <w:gridSpan w:val="2"/>
            <w:vAlign w:val="center"/>
          </w:tcPr>
          <w:p w14:paraId="278FE2C8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1" w:type="dxa"/>
            <w:gridSpan w:val="2"/>
            <w:vAlign w:val="center"/>
          </w:tcPr>
          <w:p w14:paraId="55FBED78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2" w:type="dxa"/>
            <w:gridSpan w:val="2"/>
            <w:vAlign w:val="center"/>
          </w:tcPr>
          <w:p w14:paraId="3CD1F421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5" w:type="dxa"/>
            <w:gridSpan w:val="2"/>
            <w:vAlign w:val="center"/>
          </w:tcPr>
          <w:p w14:paraId="5D8F602A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5" w:type="dxa"/>
            <w:gridSpan w:val="2"/>
            <w:vAlign w:val="center"/>
          </w:tcPr>
          <w:p w14:paraId="606924B7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(○)</w:t>
            </w:r>
          </w:p>
        </w:tc>
        <w:tc>
          <w:tcPr>
            <w:tcW w:w="604" w:type="dxa"/>
            <w:gridSpan w:val="3"/>
            <w:vAlign w:val="center"/>
          </w:tcPr>
          <w:p w14:paraId="3CB26B2E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</w:tr>
      <w:tr w:rsidR="007F3EF7" w:rsidRPr="00570E3B" w14:paraId="49A4DFF3" w14:textId="77777777" w:rsidTr="00620AC6">
        <w:trPr>
          <w:gridAfter w:val="1"/>
          <w:wAfter w:w="39" w:type="dxa"/>
        </w:trPr>
        <w:tc>
          <w:tcPr>
            <w:tcW w:w="1370" w:type="dxa"/>
            <w:vAlign w:val="center"/>
          </w:tcPr>
          <w:p w14:paraId="139D12A9" w14:textId="77777777" w:rsidR="007F3EF7" w:rsidRPr="00570E3B" w:rsidRDefault="007F3EF7" w:rsidP="00620AC6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HCV ｾﾛｸﾞﾙｰﾌﾟ（genotype）</w:t>
            </w:r>
          </w:p>
        </w:tc>
        <w:tc>
          <w:tcPr>
            <w:tcW w:w="614" w:type="dxa"/>
            <w:vAlign w:val="center"/>
          </w:tcPr>
          <w:p w14:paraId="0BE18CD4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58" w:type="dxa"/>
            <w:vAlign w:val="center"/>
          </w:tcPr>
          <w:p w14:paraId="66E453AA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606A98DE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74775D01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2237DFD5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Align w:val="center"/>
          </w:tcPr>
          <w:p w14:paraId="5492BA94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1C0CB58E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2E9DD0BE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775DDFCA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675F2F42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F3EF7" w:rsidRPr="00570E3B" w14:paraId="110109F1" w14:textId="77777777" w:rsidTr="00620AC6">
        <w:trPr>
          <w:gridAfter w:val="1"/>
          <w:wAfter w:w="39" w:type="dxa"/>
        </w:trPr>
        <w:tc>
          <w:tcPr>
            <w:tcW w:w="1370" w:type="dxa"/>
            <w:vAlign w:val="center"/>
          </w:tcPr>
          <w:p w14:paraId="55305979" w14:textId="77777777" w:rsidR="007F3EF7" w:rsidRPr="00570E3B" w:rsidRDefault="007F3EF7" w:rsidP="00620AC6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HCV-RNA定量（</w:t>
            </w:r>
            <w:r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ﾘｱﾙﾀｲﾑ</w:t>
            </w:r>
            <w:r w:rsidRPr="00570E3B"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PCR）</w:t>
            </w:r>
          </w:p>
        </w:tc>
        <w:tc>
          <w:tcPr>
            <w:tcW w:w="614" w:type="dxa"/>
            <w:vAlign w:val="center"/>
          </w:tcPr>
          <w:p w14:paraId="3AE55BE3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58" w:type="dxa"/>
            <w:vAlign w:val="center"/>
          </w:tcPr>
          <w:p w14:paraId="0C02E0A5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491" w:type="dxa"/>
            <w:gridSpan w:val="2"/>
            <w:vAlign w:val="center"/>
          </w:tcPr>
          <w:p w14:paraId="6570D0DD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82" w:type="dxa"/>
            <w:vAlign w:val="center"/>
          </w:tcPr>
          <w:p w14:paraId="34098D98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●</w:t>
            </w:r>
          </w:p>
        </w:tc>
        <w:tc>
          <w:tcPr>
            <w:tcW w:w="582" w:type="dxa"/>
            <w:gridSpan w:val="2"/>
            <w:vAlign w:val="center"/>
          </w:tcPr>
          <w:p w14:paraId="6D89DBDB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1" w:type="dxa"/>
            <w:gridSpan w:val="2"/>
            <w:vAlign w:val="center"/>
          </w:tcPr>
          <w:p w14:paraId="5CC44004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2" w:type="dxa"/>
            <w:gridSpan w:val="2"/>
            <w:vAlign w:val="center"/>
          </w:tcPr>
          <w:p w14:paraId="6FD8C32D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5" w:type="dxa"/>
            <w:gridSpan w:val="2"/>
            <w:vAlign w:val="center"/>
          </w:tcPr>
          <w:p w14:paraId="69C47A80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5" w:type="dxa"/>
            <w:gridSpan w:val="2"/>
            <w:vAlign w:val="center"/>
          </w:tcPr>
          <w:p w14:paraId="319C62BB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04" w:type="dxa"/>
            <w:gridSpan w:val="3"/>
            <w:vAlign w:val="center"/>
          </w:tcPr>
          <w:p w14:paraId="57847ECB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</w:tr>
      <w:tr w:rsidR="007F3EF7" w:rsidRPr="00570E3B" w14:paraId="29C87BEA" w14:textId="77777777" w:rsidTr="00620AC6">
        <w:trPr>
          <w:gridAfter w:val="1"/>
          <w:wAfter w:w="39" w:type="dxa"/>
        </w:trPr>
        <w:tc>
          <w:tcPr>
            <w:tcW w:w="1370" w:type="dxa"/>
            <w:vAlign w:val="center"/>
          </w:tcPr>
          <w:p w14:paraId="6FE70E02" w14:textId="77777777" w:rsidR="007F3EF7" w:rsidRPr="00570E3B" w:rsidRDefault="007F3EF7" w:rsidP="00620AC6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遺伝子多型</w:t>
            </w:r>
          </w:p>
          <w:p w14:paraId="0E114A0E" w14:textId="77777777" w:rsidR="007F3EF7" w:rsidRPr="00570E3B" w:rsidRDefault="007F3EF7" w:rsidP="00620AC6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解析</w:t>
            </w:r>
          </w:p>
        </w:tc>
        <w:tc>
          <w:tcPr>
            <w:tcW w:w="5864" w:type="dxa"/>
            <w:gridSpan w:val="18"/>
            <w:vAlign w:val="center"/>
          </w:tcPr>
          <w:p w14:paraId="4852C125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同意をとった段階で測定する(原則として治療前に)</w:t>
            </w:r>
          </w:p>
        </w:tc>
      </w:tr>
      <w:tr w:rsidR="007F3EF7" w:rsidRPr="00570E3B" w14:paraId="1B6F0112" w14:textId="77777777" w:rsidTr="00620AC6">
        <w:trPr>
          <w:trHeight w:val="600"/>
        </w:trPr>
        <w:tc>
          <w:tcPr>
            <w:tcW w:w="1370" w:type="dxa"/>
            <w:vAlign w:val="center"/>
          </w:tcPr>
          <w:p w14:paraId="0B4680D3" w14:textId="77777777" w:rsidR="007F3EF7" w:rsidRPr="00570E3B" w:rsidRDefault="007F3EF7" w:rsidP="00620AC6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HCV</w:t>
            </w:r>
          </w:p>
          <w:p w14:paraId="2AC8D6B3" w14:textId="77777777" w:rsidR="007F3EF7" w:rsidRPr="00570E3B" w:rsidRDefault="007F3EF7" w:rsidP="00620AC6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アミノ酸変異</w:t>
            </w:r>
          </w:p>
        </w:tc>
        <w:tc>
          <w:tcPr>
            <w:tcW w:w="614" w:type="dxa"/>
            <w:vAlign w:val="center"/>
          </w:tcPr>
          <w:p w14:paraId="75E165C5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58" w:type="dxa"/>
            <w:vAlign w:val="center"/>
          </w:tcPr>
          <w:p w14:paraId="630A211D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16A53AC4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5BCC33E3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43EF7EA1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Align w:val="center"/>
          </w:tcPr>
          <w:p w14:paraId="55D9C74B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1EBF7C2A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330B0AA9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49A4C019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506A5C98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F3EF7" w:rsidRPr="00570E3B" w14:paraId="32DC1FEF" w14:textId="77777777" w:rsidTr="00620AC6">
        <w:tc>
          <w:tcPr>
            <w:tcW w:w="1370" w:type="dxa"/>
            <w:vAlign w:val="center"/>
          </w:tcPr>
          <w:p w14:paraId="0C88DED1" w14:textId="77777777" w:rsidR="007F3EF7" w:rsidRPr="00570E3B" w:rsidRDefault="007F3EF7" w:rsidP="00620AC6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薬剤耐性変異解析</w:t>
            </w:r>
          </w:p>
        </w:tc>
        <w:tc>
          <w:tcPr>
            <w:tcW w:w="614" w:type="dxa"/>
            <w:vAlign w:val="center"/>
          </w:tcPr>
          <w:p w14:paraId="79D8B224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Cambria Math"/>
                <w:color w:val="000000" w:themeColor="text1"/>
                <w:sz w:val="18"/>
                <w:szCs w:val="18"/>
              </w:rPr>
              <w:t>△</w:t>
            </w:r>
          </w:p>
        </w:tc>
        <w:tc>
          <w:tcPr>
            <w:tcW w:w="658" w:type="dxa"/>
            <w:vAlign w:val="center"/>
          </w:tcPr>
          <w:p w14:paraId="09371474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11865E8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400A3EDC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641A65FF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Align w:val="center"/>
          </w:tcPr>
          <w:p w14:paraId="63C7CCF0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030E0336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Cambria Math"/>
                <w:color w:val="000000" w:themeColor="text1"/>
                <w:sz w:val="18"/>
                <w:szCs w:val="18"/>
              </w:rPr>
              <w:t>△</w:t>
            </w:r>
          </w:p>
        </w:tc>
        <w:tc>
          <w:tcPr>
            <w:tcW w:w="585" w:type="dxa"/>
            <w:gridSpan w:val="2"/>
            <w:vAlign w:val="center"/>
          </w:tcPr>
          <w:p w14:paraId="4B9DD0EF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Cambria Math"/>
                <w:color w:val="000000" w:themeColor="text1"/>
                <w:sz w:val="18"/>
                <w:szCs w:val="18"/>
              </w:rPr>
              <w:t>△</w:t>
            </w:r>
          </w:p>
        </w:tc>
        <w:tc>
          <w:tcPr>
            <w:tcW w:w="585" w:type="dxa"/>
            <w:gridSpan w:val="2"/>
            <w:vAlign w:val="center"/>
          </w:tcPr>
          <w:p w14:paraId="00654203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47A227C2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Cambria Math"/>
                <w:color w:val="000000" w:themeColor="text1"/>
                <w:sz w:val="18"/>
                <w:szCs w:val="18"/>
              </w:rPr>
              <w:t>△</w:t>
            </w:r>
          </w:p>
        </w:tc>
      </w:tr>
      <w:tr w:rsidR="007F3EF7" w:rsidRPr="00570E3B" w14:paraId="5E84843C" w14:textId="77777777" w:rsidTr="00620AC6">
        <w:tc>
          <w:tcPr>
            <w:tcW w:w="1370" w:type="dxa"/>
            <w:vAlign w:val="center"/>
          </w:tcPr>
          <w:p w14:paraId="41C1EF9D" w14:textId="77777777" w:rsidR="007F3EF7" w:rsidRPr="00570E3B" w:rsidRDefault="007F3EF7" w:rsidP="00620AC6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腫瘍マーカー</w:t>
            </w:r>
          </w:p>
        </w:tc>
        <w:tc>
          <w:tcPr>
            <w:tcW w:w="614" w:type="dxa"/>
            <w:vAlign w:val="center"/>
          </w:tcPr>
          <w:p w14:paraId="48122111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58" w:type="dxa"/>
            <w:vAlign w:val="center"/>
          </w:tcPr>
          <w:p w14:paraId="7A8B6A81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482" w:type="dxa"/>
            <w:vAlign w:val="center"/>
          </w:tcPr>
          <w:p w14:paraId="5181D531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7CDC9C3A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36625EB2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1" w:type="dxa"/>
            <w:gridSpan w:val="2"/>
            <w:vAlign w:val="center"/>
          </w:tcPr>
          <w:p w14:paraId="76D7B5CB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4C661280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5" w:type="dxa"/>
            <w:gridSpan w:val="2"/>
            <w:vAlign w:val="center"/>
          </w:tcPr>
          <w:p w14:paraId="02E085C1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5" w:type="dxa"/>
            <w:gridSpan w:val="2"/>
            <w:vAlign w:val="center"/>
          </w:tcPr>
          <w:p w14:paraId="7A77FB00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67E5308D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</w:tr>
      <w:tr w:rsidR="007F3EF7" w:rsidRPr="00570E3B" w14:paraId="41783204" w14:textId="77777777" w:rsidTr="00620AC6">
        <w:tc>
          <w:tcPr>
            <w:tcW w:w="1370" w:type="dxa"/>
            <w:vAlign w:val="center"/>
          </w:tcPr>
          <w:p w14:paraId="1CD1EB09" w14:textId="77777777" w:rsidR="007F3EF7" w:rsidRPr="00570E3B" w:rsidRDefault="007F3EF7" w:rsidP="00620AC6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画像検査</w:t>
            </w:r>
            <w:r w:rsidRPr="00570E3B">
              <w:rPr>
                <w:rFonts w:asciiTheme="minorEastAsia" w:hAnsiTheme="minorEastAsia" w:cs="ＭＳ 明朝" w:hint="eastAsia"/>
                <w:color w:val="000000" w:themeColor="text1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14" w:type="dxa"/>
            <w:vAlign w:val="center"/>
          </w:tcPr>
          <w:p w14:paraId="3C3267B3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58" w:type="dxa"/>
            <w:vAlign w:val="center"/>
          </w:tcPr>
          <w:p w14:paraId="74C1170A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E9DD2BF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77AAA374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684D9093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Align w:val="center"/>
          </w:tcPr>
          <w:p w14:paraId="02B045ED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3F774580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5DB22661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85" w:type="dxa"/>
            <w:gridSpan w:val="2"/>
            <w:vAlign w:val="center"/>
          </w:tcPr>
          <w:p w14:paraId="167730C8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75971E74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○</w:t>
            </w:r>
          </w:p>
        </w:tc>
      </w:tr>
      <w:tr w:rsidR="007F3EF7" w:rsidRPr="00570E3B" w14:paraId="2E2AC493" w14:textId="77777777" w:rsidTr="00620AC6">
        <w:tc>
          <w:tcPr>
            <w:tcW w:w="1370" w:type="dxa"/>
            <w:vAlign w:val="center"/>
          </w:tcPr>
          <w:p w14:paraId="3B239041" w14:textId="77777777" w:rsidR="007F3EF7" w:rsidRPr="00570E3B" w:rsidRDefault="007F3EF7" w:rsidP="00620AC6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保存血清</w:t>
            </w:r>
          </w:p>
        </w:tc>
        <w:tc>
          <w:tcPr>
            <w:tcW w:w="614" w:type="dxa"/>
            <w:vAlign w:val="center"/>
          </w:tcPr>
          <w:p w14:paraId="5E61EE6B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  <w:t>(○)</w:t>
            </w:r>
          </w:p>
        </w:tc>
        <w:tc>
          <w:tcPr>
            <w:tcW w:w="658" w:type="dxa"/>
            <w:vAlign w:val="center"/>
          </w:tcPr>
          <w:p w14:paraId="6E0472C8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  <w:t>(○)</w:t>
            </w:r>
          </w:p>
        </w:tc>
        <w:tc>
          <w:tcPr>
            <w:tcW w:w="482" w:type="dxa"/>
            <w:vAlign w:val="center"/>
          </w:tcPr>
          <w:p w14:paraId="3BB462C9" w14:textId="77777777" w:rsidR="007F3EF7" w:rsidRPr="00570E3B" w:rsidRDefault="007F3EF7" w:rsidP="00620AC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  <w:t>(○)</w:t>
            </w:r>
          </w:p>
        </w:tc>
        <w:tc>
          <w:tcPr>
            <w:tcW w:w="630" w:type="dxa"/>
            <w:gridSpan w:val="3"/>
            <w:vAlign w:val="center"/>
          </w:tcPr>
          <w:p w14:paraId="123E83E0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  <w:t>(○)</w:t>
            </w:r>
          </w:p>
        </w:tc>
        <w:tc>
          <w:tcPr>
            <w:tcW w:w="582" w:type="dxa"/>
            <w:gridSpan w:val="2"/>
            <w:vAlign w:val="center"/>
          </w:tcPr>
          <w:p w14:paraId="0355ED77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  <w:t>(○)</w:t>
            </w:r>
          </w:p>
        </w:tc>
        <w:tc>
          <w:tcPr>
            <w:tcW w:w="581" w:type="dxa"/>
            <w:gridSpan w:val="2"/>
            <w:vAlign w:val="center"/>
          </w:tcPr>
          <w:p w14:paraId="12838D7B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  <w:t>(○)</w:t>
            </w:r>
          </w:p>
        </w:tc>
        <w:tc>
          <w:tcPr>
            <w:tcW w:w="582" w:type="dxa"/>
            <w:gridSpan w:val="2"/>
            <w:vAlign w:val="center"/>
          </w:tcPr>
          <w:p w14:paraId="5BD75158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  <w:t>(○)</w:t>
            </w:r>
          </w:p>
        </w:tc>
        <w:tc>
          <w:tcPr>
            <w:tcW w:w="585" w:type="dxa"/>
            <w:gridSpan w:val="2"/>
            <w:vAlign w:val="center"/>
          </w:tcPr>
          <w:p w14:paraId="6E587681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  <w:t>(○)</w:t>
            </w:r>
          </w:p>
        </w:tc>
        <w:tc>
          <w:tcPr>
            <w:tcW w:w="585" w:type="dxa"/>
            <w:gridSpan w:val="2"/>
            <w:vAlign w:val="center"/>
          </w:tcPr>
          <w:p w14:paraId="52C73563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  <w:t>(○)</w:t>
            </w:r>
          </w:p>
        </w:tc>
        <w:tc>
          <w:tcPr>
            <w:tcW w:w="604" w:type="dxa"/>
            <w:gridSpan w:val="3"/>
            <w:vAlign w:val="center"/>
          </w:tcPr>
          <w:p w14:paraId="3F5800FD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  <w:t>(○)</w:t>
            </w:r>
          </w:p>
        </w:tc>
      </w:tr>
      <w:tr w:rsidR="007F3EF7" w:rsidRPr="00570E3B" w14:paraId="26E99F82" w14:textId="77777777" w:rsidTr="00620AC6">
        <w:tc>
          <w:tcPr>
            <w:tcW w:w="1370" w:type="dxa"/>
            <w:vAlign w:val="center"/>
          </w:tcPr>
          <w:p w14:paraId="39C40D00" w14:textId="77777777" w:rsidR="007F3EF7" w:rsidRPr="00570E3B" w:rsidRDefault="007F3EF7" w:rsidP="00620AC6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  <w:r w:rsidRPr="00570E3B"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  <w:t>有害事象</w:t>
            </w:r>
          </w:p>
        </w:tc>
        <w:tc>
          <w:tcPr>
            <w:tcW w:w="614" w:type="dxa"/>
            <w:vAlign w:val="center"/>
          </w:tcPr>
          <w:p w14:paraId="31338B6C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</w:pPr>
          </w:p>
        </w:tc>
        <w:tc>
          <w:tcPr>
            <w:tcW w:w="5289" w:type="dxa"/>
            <w:gridSpan w:val="18"/>
            <w:vAlign w:val="center"/>
          </w:tcPr>
          <w:p w14:paraId="21788095" w14:textId="77777777" w:rsidR="007F3EF7" w:rsidRPr="00570E3B" w:rsidRDefault="007F3EF7" w:rsidP="00620AC6">
            <w:pPr>
              <w:jc w:val="center"/>
              <w:rPr>
                <w:rFonts w:asciiTheme="minorEastAsia" w:hAnsiTheme="minorEastAsia"/>
                <w:color w:val="000000" w:themeColor="text1"/>
                <w:sz w:val="12"/>
                <w:szCs w:val="18"/>
              </w:rPr>
            </w:pPr>
            <w:r w:rsidRPr="00570E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随時</w:t>
            </w:r>
          </w:p>
        </w:tc>
      </w:tr>
    </w:tbl>
    <w:p w14:paraId="6B990DB9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jc w:val="left"/>
        <w:rPr>
          <w:color w:val="000000" w:themeColor="text1"/>
          <w:szCs w:val="21"/>
        </w:rPr>
      </w:pPr>
    </w:p>
    <w:p w14:paraId="69B067B1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2F86EA50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65D7BFF3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20EBB2A8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0D31A7A8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44F99C97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36F92E6A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10765F05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2827F35F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1FB051F7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4A452B06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5A906B28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716BBF89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4D9FDB16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08A4BFA0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33580E6E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542E595E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112748F6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2B26C8BB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09EF6CBA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412AD74A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239202CF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33827945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2F731D24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6E31B615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042332D4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</w:p>
    <w:p w14:paraId="55619168" w14:textId="77777777" w:rsidR="007F3EF7" w:rsidRPr="00297223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rFonts w:asciiTheme="minorEastAsia" w:hAnsiTheme="minorEastAsia"/>
          <w:color w:val="000000" w:themeColor="text1"/>
          <w:szCs w:val="21"/>
        </w:rPr>
      </w:pPr>
      <w:r w:rsidRPr="00297223">
        <w:rPr>
          <w:rFonts w:asciiTheme="minorEastAsia" w:hAnsiTheme="minorEastAsia"/>
          <w:color w:val="000000" w:themeColor="text1"/>
          <w:szCs w:val="21"/>
        </w:rPr>
        <w:t>○：必須</w:t>
      </w:r>
    </w:p>
    <w:p w14:paraId="1B142AEF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  <w:r w:rsidRPr="00297223">
        <w:rPr>
          <w:rFonts w:asciiTheme="minorEastAsia" w:hAnsiTheme="minorEastAsia"/>
          <w:color w:val="000000" w:themeColor="text1"/>
          <w:szCs w:val="21"/>
        </w:rPr>
        <w:t>●：で</w:t>
      </w:r>
      <w:r w:rsidRPr="00604FC1">
        <w:rPr>
          <w:color w:val="000000" w:themeColor="text1"/>
          <w:szCs w:val="21"/>
        </w:rPr>
        <w:t>きる限り</w:t>
      </w:r>
      <w:r w:rsidRPr="00604FC1">
        <w:rPr>
          <w:color w:val="000000" w:themeColor="text1"/>
          <w:szCs w:val="21"/>
        </w:rPr>
        <w:t>1</w:t>
      </w:r>
      <w:r w:rsidRPr="00604FC1">
        <w:rPr>
          <w:color w:val="000000" w:themeColor="text1"/>
          <w:szCs w:val="21"/>
        </w:rPr>
        <w:t>週後、</w:t>
      </w:r>
      <w:r w:rsidRPr="00604FC1">
        <w:rPr>
          <w:color w:val="000000" w:themeColor="text1"/>
          <w:szCs w:val="21"/>
        </w:rPr>
        <w:t>2</w:t>
      </w:r>
      <w:r w:rsidRPr="00604FC1">
        <w:rPr>
          <w:color w:val="000000" w:themeColor="text1"/>
          <w:szCs w:val="21"/>
        </w:rPr>
        <w:t>週後の各時点で測定する。</w:t>
      </w:r>
    </w:p>
    <w:p w14:paraId="6FBFD8BB" w14:textId="77777777" w:rsidR="007F3EF7" w:rsidRPr="00604FC1" w:rsidRDefault="007F3EF7" w:rsidP="007F3EF7">
      <w:pPr>
        <w:suppressAutoHyphens/>
        <w:kinsoku w:val="0"/>
        <w:wordWrap w:val="0"/>
        <w:autoSpaceDE w:val="0"/>
        <w:autoSpaceDN w:val="0"/>
        <w:spacing w:line="274" w:lineRule="exact"/>
        <w:ind w:leftChars="202" w:left="424"/>
        <w:jc w:val="left"/>
        <w:rPr>
          <w:color w:val="000000" w:themeColor="text1"/>
          <w:szCs w:val="21"/>
        </w:rPr>
      </w:pPr>
      <w:r w:rsidRPr="00297223">
        <w:rPr>
          <w:rFonts w:asciiTheme="minorEastAsia" w:hAnsiTheme="minorEastAsia" w:cs="Cambria Math"/>
          <w:color w:val="000000" w:themeColor="text1"/>
          <w:szCs w:val="21"/>
        </w:rPr>
        <w:t>△</w:t>
      </w:r>
      <w:r w:rsidRPr="00297223">
        <w:rPr>
          <w:rFonts w:asciiTheme="minorEastAsia" w:hAnsiTheme="minorEastAsia"/>
          <w:color w:val="000000" w:themeColor="text1"/>
          <w:szCs w:val="21"/>
        </w:rPr>
        <w:t>：投</w:t>
      </w:r>
      <w:r w:rsidRPr="00604FC1">
        <w:rPr>
          <w:color w:val="000000" w:themeColor="text1"/>
          <w:szCs w:val="21"/>
        </w:rPr>
        <w:t>与中に血清中</w:t>
      </w:r>
      <w:r w:rsidRPr="00604FC1">
        <w:rPr>
          <w:color w:val="000000" w:themeColor="text1"/>
          <w:szCs w:val="21"/>
        </w:rPr>
        <w:t>HCV-RNA</w:t>
      </w:r>
      <w:r w:rsidRPr="00604FC1">
        <w:rPr>
          <w:color w:val="000000" w:themeColor="text1"/>
          <w:szCs w:val="21"/>
        </w:rPr>
        <w:t>が低下せず、中止基準を満たした場合に、治療前、投与終了時、治療終了（中止時）、終了</w:t>
      </w:r>
      <w:r w:rsidRPr="00604FC1">
        <w:rPr>
          <w:color w:val="000000" w:themeColor="text1"/>
          <w:szCs w:val="21"/>
        </w:rPr>
        <w:t>24</w:t>
      </w:r>
      <w:r w:rsidRPr="00604FC1">
        <w:rPr>
          <w:color w:val="000000" w:themeColor="text1"/>
          <w:szCs w:val="21"/>
        </w:rPr>
        <w:t>週後の各ポイントで保存血清を用いて解析する。</w:t>
      </w:r>
    </w:p>
    <w:p w14:paraId="2DEA69D5" w14:textId="77777777" w:rsidR="007F3EF7" w:rsidRPr="00604FC1" w:rsidRDefault="007F3EF7" w:rsidP="007F3EF7">
      <w:pPr>
        <w:ind w:leftChars="202" w:left="424"/>
        <w:rPr>
          <w:color w:val="000000" w:themeColor="text1"/>
          <w:szCs w:val="21"/>
        </w:rPr>
      </w:pPr>
      <w:r w:rsidRPr="00604FC1">
        <w:rPr>
          <w:rFonts w:ascii="ＭＳ 明朝" w:hAnsi="ＭＳ 明朝" w:cs="ＭＳ 明朝" w:hint="eastAsia"/>
          <w:color w:val="000000" w:themeColor="text1"/>
          <w:szCs w:val="21"/>
        </w:rPr>
        <w:t>※</w:t>
      </w:r>
      <w:r w:rsidRPr="00604FC1">
        <w:rPr>
          <w:color w:val="000000" w:themeColor="text1"/>
          <w:szCs w:val="21"/>
        </w:rPr>
        <w:t>：画像検査については、エコー、</w:t>
      </w:r>
      <w:r w:rsidRPr="00604FC1">
        <w:rPr>
          <w:color w:val="000000" w:themeColor="text1"/>
          <w:szCs w:val="21"/>
        </w:rPr>
        <w:t>CT</w:t>
      </w:r>
      <w:r w:rsidRPr="00604FC1">
        <w:rPr>
          <w:color w:val="000000" w:themeColor="text1"/>
          <w:szCs w:val="21"/>
        </w:rPr>
        <w:t>、</w:t>
      </w:r>
      <w:r w:rsidRPr="00604FC1">
        <w:rPr>
          <w:color w:val="000000" w:themeColor="text1"/>
          <w:szCs w:val="21"/>
        </w:rPr>
        <w:t>MRI</w:t>
      </w:r>
      <w:r w:rsidRPr="00604FC1">
        <w:rPr>
          <w:color w:val="000000" w:themeColor="text1"/>
          <w:szCs w:val="21"/>
        </w:rPr>
        <w:t>等により確認を行なう</w:t>
      </w:r>
    </w:p>
    <w:p w14:paraId="6F0EFA45" w14:textId="25A06A23" w:rsidR="007F3EF7" w:rsidRPr="007F3EF7" w:rsidRDefault="007F3EF7" w:rsidP="007F3EF7">
      <w:pPr>
        <w:rPr>
          <w:szCs w:val="21"/>
          <w:u w:val="single"/>
        </w:rPr>
      </w:pPr>
      <w:r w:rsidRPr="007F3EF7">
        <w:rPr>
          <w:rFonts w:hint="eastAsia"/>
          <w:szCs w:val="21"/>
          <w:u w:val="single"/>
        </w:rPr>
        <w:t>☆上記検査スケジュールは</w:t>
      </w:r>
      <w:r>
        <w:rPr>
          <w:rFonts w:hint="eastAsia"/>
          <w:szCs w:val="21"/>
          <w:u w:val="single"/>
        </w:rPr>
        <w:t>当院で</w:t>
      </w:r>
      <w:r w:rsidRPr="007F3EF7">
        <w:rPr>
          <w:rFonts w:hint="eastAsia"/>
          <w:szCs w:val="21"/>
          <w:u w:val="single"/>
        </w:rPr>
        <w:t>の慢性</w:t>
      </w:r>
      <w:r w:rsidRPr="007F3EF7">
        <w:rPr>
          <w:rFonts w:hint="eastAsia"/>
          <w:szCs w:val="21"/>
          <w:u w:val="single"/>
        </w:rPr>
        <w:t>C</w:t>
      </w:r>
      <w:r>
        <w:rPr>
          <w:rFonts w:hint="eastAsia"/>
          <w:szCs w:val="21"/>
          <w:u w:val="single"/>
        </w:rPr>
        <w:t>型肝炎の際の行われる通常診療と</w:t>
      </w:r>
      <w:r w:rsidRPr="007F3EF7">
        <w:rPr>
          <w:rFonts w:hint="eastAsia"/>
          <w:szCs w:val="21"/>
          <w:u w:val="single"/>
        </w:rPr>
        <w:t>同等の検査であり</w:t>
      </w:r>
      <w:r>
        <w:rPr>
          <w:rFonts w:hint="eastAsia"/>
          <w:szCs w:val="21"/>
          <w:u w:val="single"/>
        </w:rPr>
        <w:t>、今回の臨床試験において通常</w:t>
      </w:r>
      <w:r w:rsidRPr="007F3EF7">
        <w:rPr>
          <w:rFonts w:hint="eastAsia"/>
          <w:szCs w:val="21"/>
          <w:u w:val="single"/>
        </w:rPr>
        <w:t>フォローアップ以上に追加する項目はなし。</w:t>
      </w:r>
    </w:p>
    <w:p w14:paraId="796880EA" w14:textId="77777777" w:rsidR="005644B7" w:rsidRDefault="005644B7" w:rsidP="005644B7">
      <w:pPr>
        <w:ind w:firstLineChars="100" w:firstLine="210"/>
        <w:jc w:val="left"/>
      </w:pPr>
    </w:p>
    <w:p w14:paraId="41C5FD4A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14:paraId="14A5F526" w14:textId="3CADB315" w:rsidR="005644B7" w:rsidRDefault="00EA2E18" w:rsidP="005139C2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個人名、イニシャルともに公表せず。</w:t>
      </w:r>
    </w:p>
    <w:p w14:paraId="6A5AD9A3" w14:textId="77777777" w:rsidR="00620AC6" w:rsidRDefault="00620AC6" w:rsidP="005139C2">
      <w:pPr>
        <w:ind w:firstLineChars="100" w:firstLine="210"/>
        <w:jc w:val="left"/>
      </w:pPr>
    </w:p>
    <w:p w14:paraId="3DBA690E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14:paraId="0ADCE42F" w14:textId="77777777" w:rsidR="000C1AFB" w:rsidRPr="00604FC1" w:rsidRDefault="000C1AFB" w:rsidP="000C1AFB">
      <w:pPr>
        <w:pStyle w:val="a8"/>
        <w:ind w:leftChars="202" w:left="424"/>
        <w:rPr>
          <w:rFonts w:asciiTheme="minorHAnsi" w:eastAsiaTheme="minorEastAsia" w:hAnsiTheme="minorHAnsi"/>
          <w:bCs/>
          <w:color w:val="000000"/>
          <w:szCs w:val="21"/>
        </w:rPr>
      </w:pPr>
      <w:r w:rsidRPr="00604FC1">
        <w:rPr>
          <w:rFonts w:asciiTheme="minorHAnsi" w:eastAsiaTheme="minorEastAsia" w:hAnsiTheme="minorHAnsi"/>
          <w:bCs/>
          <w:color w:val="000000"/>
          <w:szCs w:val="21"/>
        </w:rPr>
        <w:t>研究事務局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ab/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>田中基彦、立山雅邦</w:t>
      </w:r>
    </w:p>
    <w:p w14:paraId="572A8C8E" w14:textId="77777777" w:rsidR="000C1AFB" w:rsidRPr="00604FC1" w:rsidRDefault="000C1AFB" w:rsidP="000C1AFB">
      <w:pPr>
        <w:pStyle w:val="a8"/>
        <w:ind w:leftChars="202" w:left="424"/>
        <w:rPr>
          <w:rFonts w:asciiTheme="minorHAnsi" w:eastAsiaTheme="minorEastAsia" w:hAnsiTheme="minorHAnsi"/>
          <w:bCs/>
          <w:color w:val="000000"/>
          <w:szCs w:val="21"/>
        </w:rPr>
      </w:pPr>
      <w:r w:rsidRPr="00604FC1">
        <w:rPr>
          <w:rFonts w:asciiTheme="minorHAnsi" w:eastAsiaTheme="minorEastAsia" w:hAnsiTheme="minorHAnsi"/>
          <w:bCs/>
          <w:color w:val="000000"/>
          <w:szCs w:val="21"/>
        </w:rPr>
        <w:t>熊本大学大学院生命科学研究部消化器内科学</w:t>
      </w:r>
    </w:p>
    <w:p w14:paraId="165F073E" w14:textId="77777777" w:rsidR="000C1AFB" w:rsidRPr="00604FC1" w:rsidRDefault="000C1AFB" w:rsidP="000C1AFB">
      <w:pPr>
        <w:pStyle w:val="a8"/>
        <w:ind w:leftChars="202" w:left="424"/>
        <w:rPr>
          <w:rFonts w:asciiTheme="minorHAnsi" w:eastAsiaTheme="minorEastAsia" w:hAnsiTheme="minorHAnsi"/>
          <w:bCs/>
          <w:color w:val="000000"/>
          <w:szCs w:val="21"/>
        </w:rPr>
      </w:pPr>
      <w:r w:rsidRPr="00604FC1">
        <w:rPr>
          <w:rFonts w:asciiTheme="minorHAnsi" w:eastAsiaTheme="minorEastAsia" w:hAnsiTheme="minorHAnsi"/>
          <w:bCs/>
          <w:color w:val="000000"/>
          <w:szCs w:val="21"/>
        </w:rPr>
        <w:lastRenderedPageBreak/>
        <w:t>TEL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>：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ab/>
        <w:t>096-373-5149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>・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>5150</w:t>
      </w:r>
    </w:p>
    <w:p w14:paraId="56A59F54" w14:textId="77777777" w:rsidR="000C1AFB" w:rsidRPr="00604FC1" w:rsidRDefault="000C1AFB" w:rsidP="000C1AFB">
      <w:pPr>
        <w:pStyle w:val="a8"/>
        <w:ind w:leftChars="202" w:left="424"/>
        <w:rPr>
          <w:rFonts w:asciiTheme="minorHAnsi" w:eastAsiaTheme="minorEastAsia" w:hAnsiTheme="minorHAnsi"/>
          <w:bCs/>
          <w:color w:val="000000"/>
          <w:szCs w:val="21"/>
        </w:rPr>
      </w:pPr>
      <w:r w:rsidRPr="00604FC1">
        <w:rPr>
          <w:rFonts w:asciiTheme="minorHAnsi" w:eastAsiaTheme="minorEastAsia" w:hAnsiTheme="minorHAnsi"/>
          <w:bCs/>
          <w:color w:val="000000"/>
          <w:szCs w:val="21"/>
        </w:rPr>
        <w:t>FAX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>：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ab/>
        <w:t>096-371-0582</w:t>
      </w:r>
    </w:p>
    <w:p w14:paraId="2ADE3022" w14:textId="77777777" w:rsidR="000C1AFB" w:rsidRPr="00604FC1" w:rsidRDefault="000C1AFB" w:rsidP="000C1AFB">
      <w:pPr>
        <w:pStyle w:val="a8"/>
        <w:ind w:leftChars="202" w:left="424"/>
        <w:rPr>
          <w:rFonts w:asciiTheme="minorHAnsi" w:eastAsiaTheme="minorEastAsia" w:hAnsiTheme="minorHAnsi"/>
          <w:bCs/>
          <w:color w:val="000000"/>
          <w:szCs w:val="21"/>
        </w:rPr>
      </w:pPr>
      <w:r w:rsidRPr="00604FC1">
        <w:rPr>
          <w:rFonts w:asciiTheme="minorHAnsi" w:eastAsiaTheme="minorEastAsia" w:hAnsiTheme="minorHAnsi"/>
          <w:bCs/>
          <w:color w:val="000000"/>
          <w:szCs w:val="21"/>
        </w:rPr>
        <w:t>e-mail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>：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ab/>
        <w:t>shonai@kumamoto-u.ac.jp</w:t>
      </w:r>
    </w:p>
    <w:p w14:paraId="7752B93C" w14:textId="77777777" w:rsidR="00620AC6" w:rsidRDefault="007F3EF7" w:rsidP="007F3EF7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14:paraId="39A5BFDA" w14:textId="77777777" w:rsidR="00620AC6" w:rsidRDefault="00620AC6" w:rsidP="00620AC6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研究責任者</w:t>
      </w:r>
    </w:p>
    <w:p w14:paraId="7EB0DF78" w14:textId="26BDD77A" w:rsidR="00620AC6" w:rsidRDefault="00620AC6" w:rsidP="00620AC6">
      <w:pPr>
        <w:ind w:firstLineChars="100" w:firstLine="210"/>
        <w:jc w:val="left"/>
      </w:pPr>
      <w:r>
        <w:rPr>
          <w:rFonts w:hint="eastAsia"/>
        </w:rPr>
        <w:t>沖縄県立中部病院　消化器内科　山田航希</w:t>
      </w:r>
    </w:p>
    <w:p w14:paraId="335D050B" w14:textId="0E2BF71B" w:rsidR="005644B7" w:rsidRDefault="00620AC6" w:rsidP="00620AC6">
      <w:pPr>
        <w:ind w:firstLineChars="100" w:firstLine="210"/>
        <w:jc w:val="left"/>
      </w:pPr>
      <w:r>
        <w:rPr>
          <w:rFonts w:hint="eastAsia"/>
          <w:kern w:val="0"/>
        </w:rPr>
        <w:t>〒</w:t>
      </w:r>
      <w:r>
        <w:rPr>
          <w:kern w:val="0"/>
        </w:rPr>
        <w:t xml:space="preserve">904-2293 </w:t>
      </w:r>
      <w:r>
        <w:rPr>
          <w:rFonts w:hint="eastAsia"/>
          <w:kern w:val="0"/>
        </w:rPr>
        <w:t>沖縄県うるま市宮里</w:t>
      </w:r>
      <w:r>
        <w:rPr>
          <w:kern w:val="0"/>
        </w:rPr>
        <w:t>281</w:t>
      </w:r>
      <w:r>
        <w:rPr>
          <w:rFonts w:hint="eastAsia"/>
          <w:kern w:val="0"/>
        </w:rPr>
        <w:t xml:space="preserve">　電話：</w:t>
      </w:r>
      <w:r>
        <w:rPr>
          <w:kern w:val="0"/>
        </w:rPr>
        <w:t>098-973-4111</w:t>
      </w:r>
      <w:r>
        <w:rPr>
          <w:rFonts w:hint="eastAsia"/>
          <w:kern w:val="0"/>
        </w:rPr>
        <w:t>（内線</w:t>
      </w:r>
      <w:r>
        <w:rPr>
          <w:kern w:val="0"/>
        </w:rPr>
        <w:t>2</w:t>
      </w:r>
      <w:r>
        <w:rPr>
          <w:rFonts w:hint="eastAsia"/>
          <w:kern w:val="0"/>
        </w:rPr>
        <w:t>095</w:t>
      </w:r>
      <w:r>
        <w:rPr>
          <w:rFonts w:hint="eastAsia"/>
          <w:kern w:val="0"/>
        </w:rPr>
        <w:t>）</w:t>
      </w:r>
    </w:p>
    <w:p w14:paraId="1297515D" w14:textId="77777777" w:rsidR="005644B7" w:rsidRDefault="005644B7" w:rsidP="005644B7">
      <w:pPr>
        <w:ind w:firstLineChars="100" w:firstLine="210"/>
        <w:jc w:val="left"/>
      </w:pPr>
    </w:p>
    <w:p w14:paraId="52191282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14:paraId="745E0FF2" w14:textId="77777777" w:rsidR="000C1AFB" w:rsidRPr="00604FC1" w:rsidRDefault="000C1AFB" w:rsidP="000C1AFB">
      <w:pPr>
        <w:pStyle w:val="a8"/>
        <w:ind w:leftChars="202" w:left="424"/>
        <w:rPr>
          <w:rFonts w:asciiTheme="minorHAnsi" w:eastAsiaTheme="minorEastAsia" w:hAnsiTheme="minorHAnsi"/>
          <w:bCs/>
          <w:color w:val="000000"/>
          <w:szCs w:val="21"/>
        </w:rPr>
      </w:pPr>
      <w:r w:rsidRPr="00604FC1">
        <w:rPr>
          <w:rFonts w:asciiTheme="minorHAnsi" w:eastAsiaTheme="minorEastAsia" w:hAnsiTheme="minorHAnsi"/>
          <w:bCs/>
          <w:color w:val="000000"/>
          <w:szCs w:val="21"/>
        </w:rPr>
        <w:t>研究事務局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ab/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>田中基彦、立山雅邦</w:t>
      </w:r>
    </w:p>
    <w:p w14:paraId="5796B5B1" w14:textId="77777777" w:rsidR="000C1AFB" w:rsidRPr="00604FC1" w:rsidRDefault="000C1AFB" w:rsidP="000C1AFB">
      <w:pPr>
        <w:pStyle w:val="a8"/>
        <w:ind w:leftChars="202" w:left="424"/>
        <w:rPr>
          <w:rFonts w:asciiTheme="minorHAnsi" w:eastAsiaTheme="minorEastAsia" w:hAnsiTheme="minorHAnsi"/>
          <w:bCs/>
          <w:color w:val="000000"/>
          <w:szCs w:val="21"/>
        </w:rPr>
      </w:pPr>
      <w:r w:rsidRPr="00604FC1">
        <w:rPr>
          <w:rFonts w:asciiTheme="minorHAnsi" w:eastAsiaTheme="minorEastAsia" w:hAnsiTheme="minorHAnsi"/>
          <w:bCs/>
          <w:color w:val="000000"/>
          <w:szCs w:val="21"/>
        </w:rPr>
        <w:t>熊本大学大学院生命科学研究部消化器内科学</w:t>
      </w:r>
    </w:p>
    <w:p w14:paraId="4BC52E07" w14:textId="77777777" w:rsidR="000C1AFB" w:rsidRPr="00604FC1" w:rsidRDefault="000C1AFB" w:rsidP="000C1AFB">
      <w:pPr>
        <w:pStyle w:val="a8"/>
        <w:ind w:leftChars="202" w:left="424"/>
        <w:rPr>
          <w:rFonts w:asciiTheme="minorHAnsi" w:eastAsiaTheme="minorEastAsia" w:hAnsiTheme="minorHAnsi"/>
          <w:bCs/>
          <w:color w:val="000000"/>
          <w:szCs w:val="21"/>
        </w:rPr>
      </w:pPr>
      <w:r w:rsidRPr="00604FC1">
        <w:rPr>
          <w:rFonts w:asciiTheme="minorHAnsi" w:eastAsiaTheme="minorEastAsia" w:hAnsiTheme="minorHAnsi"/>
          <w:bCs/>
          <w:color w:val="000000"/>
          <w:szCs w:val="21"/>
        </w:rPr>
        <w:t>TEL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>：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ab/>
        <w:t>096-373-5149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>・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>5150</w:t>
      </w:r>
    </w:p>
    <w:p w14:paraId="66839D81" w14:textId="77777777" w:rsidR="000C1AFB" w:rsidRPr="00604FC1" w:rsidRDefault="000C1AFB" w:rsidP="000C1AFB">
      <w:pPr>
        <w:pStyle w:val="a8"/>
        <w:ind w:leftChars="202" w:left="424"/>
        <w:rPr>
          <w:rFonts w:asciiTheme="minorHAnsi" w:eastAsiaTheme="minorEastAsia" w:hAnsiTheme="minorHAnsi"/>
          <w:bCs/>
          <w:color w:val="000000"/>
          <w:szCs w:val="21"/>
        </w:rPr>
      </w:pPr>
      <w:r w:rsidRPr="00604FC1">
        <w:rPr>
          <w:rFonts w:asciiTheme="minorHAnsi" w:eastAsiaTheme="minorEastAsia" w:hAnsiTheme="minorHAnsi"/>
          <w:bCs/>
          <w:color w:val="000000"/>
          <w:szCs w:val="21"/>
        </w:rPr>
        <w:t>FAX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>：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ab/>
        <w:t>096-371-0582</w:t>
      </w:r>
    </w:p>
    <w:p w14:paraId="623E4B55" w14:textId="7926AA79" w:rsidR="000C1AFB" w:rsidRDefault="000C1AFB" w:rsidP="000C1AFB">
      <w:pPr>
        <w:pStyle w:val="a8"/>
        <w:ind w:leftChars="202" w:left="424"/>
        <w:rPr>
          <w:rFonts w:asciiTheme="minorHAnsi" w:eastAsiaTheme="minorEastAsia" w:hAnsiTheme="minorHAnsi" w:hint="eastAsia"/>
          <w:bCs/>
          <w:color w:val="000000"/>
          <w:szCs w:val="21"/>
        </w:rPr>
      </w:pPr>
      <w:r w:rsidRPr="00604FC1">
        <w:rPr>
          <w:rFonts w:asciiTheme="minorHAnsi" w:eastAsiaTheme="minorEastAsia" w:hAnsiTheme="minorHAnsi"/>
          <w:bCs/>
          <w:color w:val="000000"/>
          <w:szCs w:val="21"/>
        </w:rPr>
        <w:t>e-mail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>：</w:t>
      </w:r>
      <w:r w:rsidRPr="00604FC1">
        <w:rPr>
          <w:rFonts w:asciiTheme="minorHAnsi" w:eastAsiaTheme="minorEastAsia" w:hAnsiTheme="minorHAnsi"/>
          <w:bCs/>
          <w:color w:val="000000"/>
          <w:szCs w:val="21"/>
        </w:rPr>
        <w:tab/>
      </w:r>
      <w:hyperlink r:id="rId8" w:history="1">
        <w:r w:rsidR="00620AC6" w:rsidRPr="002F6600">
          <w:rPr>
            <w:rStyle w:val="aa"/>
            <w:rFonts w:asciiTheme="minorHAnsi" w:eastAsiaTheme="minorEastAsia" w:hAnsiTheme="minorHAnsi"/>
            <w:bCs/>
            <w:szCs w:val="21"/>
          </w:rPr>
          <w:t>shonai@kumamoto-u.ac.jp</w:t>
        </w:r>
      </w:hyperlink>
    </w:p>
    <w:p w14:paraId="4B16B523" w14:textId="77777777" w:rsidR="00620AC6" w:rsidRDefault="00620AC6" w:rsidP="000C1AFB">
      <w:pPr>
        <w:pStyle w:val="a8"/>
        <w:ind w:leftChars="202" w:left="424"/>
        <w:rPr>
          <w:rFonts w:asciiTheme="minorHAnsi" w:eastAsiaTheme="minorEastAsia" w:hAnsiTheme="minorHAnsi" w:hint="eastAsia"/>
          <w:bCs/>
          <w:color w:val="000000"/>
          <w:szCs w:val="21"/>
        </w:rPr>
      </w:pPr>
      <w:bookmarkStart w:id="0" w:name="_GoBack"/>
      <w:bookmarkEnd w:id="0"/>
    </w:p>
    <w:p w14:paraId="1152386D" w14:textId="77777777" w:rsidR="00620AC6" w:rsidRDefault="00620AC6" w:rsidP="00620AC6">
      <w:pPr>
        <w:ind w:firstLineChars="200" w:firstLine="420"/>
        <w:jc w:val="left"/>
      </w:pPr>
      <w:r>
        <w:rPr>
          <w:rFonts w:hint="eastAsia"/>
        </w:rPr>
        <w:t>沖縄県立中部病院　消化器内科　山田航希</w:t>
      </w:r>
    </w:p>
    <w:p w14:paraId="1A4B68A5" w14:textId="77777777" w:rsidR="00620AC6" w:rsidRDefault="00620AC6" w:rsidP="00620AC6">
      <w:pPr>
        <w:ind w:firstLineChars="200" w:firstLine="420"/>
        <w:jc w:val="left"/>
      </w:pPr>
      <w:r>
        <w:rPr>
          <w:rFonts w:hint="eastAsia"/>
          <w:kern w:val="0"/>
        </w:rPr>
        <w:t>〒</w:t>
      </w:r>
      <w:r>
        <w:rPr>
          <w:kern w:val="0"/>
        </w:rPr>
        <w:t xml:space="preserve">904-2293 </w:t>
      </w:r>
      <w:r>
        <w:rPr>
          <w:rFonts w:hint="eastAsia"/>
          <w:kern w:val="0"/>
        </w:rPr>
        <w:t>沖縄県うるま市宮里</w:t>
      </w:r>
      <w:r>
        <w:rPr>
          <w:kern w:val="0"/>
        </w:rPr>
        <w:t>281</w:t>
      </w:r>
      <w:r>
        <w:rPr>
          <w:rFonts w:hint="eastAsia"/>
          <w:kern w:val="0"/>
        </w:rPr>
        <w:t xml:space="preserve">　電話：</w:t>
      </w:r>
      <w:r>
        <w:rPr>
          <w:kern w:val="0"/>
        </w:rPr>
        <w:t>098-973-4111</w:t>
      </w:r>
      <w:r>
        <w:rPr>
          <w:rFonts w:hint="eastAsia"/>
          <w:kern w:val="0"/>
        </w:rPr>
        <w:t>（内線</w:t>
      </w:r>
      <w:r>
        <w:rPr>
          <w:kern w:val="0"/>
        </w:rPr>
        <w:t>2</w:t>
      </w:r>
      <w:r>
        <w:rPr>
          <w:rFonts w:hint="eastAsia"/>
          <w:kern w:val="0"/>
        </w:rPr>
        <w:t>095</w:t>
      </w:r>
      <w:r>
        <w:rPr>
          <w:rFonts w:hint="eastAsia"/>
          <w:kern w:val="0"/>
        </w:rPr>
        <w:t>）</w:t>
      </w:r>
    </w:p>
    <w:p w14:paraId="5B66C9A2" w14:textId="77777777" w:rsidR="00620AC6" w:rsidRPr="00620AC6" w:rsidRDefault="00620AC6" w:rsidP="000C1AFB">
      <w:pPr>
        <w:pStyle w:val="a8"/>
        <w:ind w:leftChars="202" w:left="424"/>
        <w:rPr>
          <w:rFonts w:asciiTheme="minorHAnsi" w:eastAsiaTheme="minorEastAsia" w:hAnsiTheme="minorHAnsi"/>
          <w:bCs/>
          <w:color w:val="000000"/>
          <w:szCs w:val="21"/>
        </w:rPr>
      </w:pPr>
    </w:p>
    <w:p w14:paraId="27263F6D" w14:textId="77777777" w:rsidR="000C1AFB" w:rsidRDefault="000C1AFB" w:rsidP="00EA2E18">
      <w:pPr>
        <w:ind w:firstLineChars="100" w:firstLine="210"/>
        <w:jc w:val="left"/>
      </w:pPr>
    </w:p>
    <w:sectPr w:rsidR="000C1A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EF07E" w14:textId="77777777" w:rsidR="00B30C66" w:rsidRDefault="00B30C66" w:rsidP="005856AD">
      <w:r>
        <w:separator/>
      </w:r>
    </w:p>
  </w:endnote>
  <w:endnote w:type="continuationSeparator" w:id="0">
    <w:p w14:paraId="7B12FB1F" w14:textId="77777777" w:rsidR="00B30C66" w:rsidRDefault="00B30C66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8D43C" w14:textId="77777777" w:rsidR="00B30C66" w:rsidRDefault="00B30C66" w:rsidP="005856AD">
      <w:r>
        <w:separator/>
      </w:r>
    </w:p>
  </w:footnote>
  <w:footnote w:type="continuationSeparator" w:id="0">
    <w:p w14:paraId="61F28356" w14:textId="77777777" w:rsidR="00B30C66" w:rsidRDefault="00B30C66" w:rsidP="0058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148"/>
    <w:multiLevelType w:val="hybridMultilevel"/>
    <w:tmpl w:val="E4D6682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2BC4492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6B874DF"/>
    <w:multiLevelType w:val="hybridMultilevel"/>
    <w:tmpl w:val="DB888678"/>
    <w:lvl w:ilvl="0" w:tplc="E91C9F1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Arial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397D67"/>
    <w:multiLevelType w:val="hybridMultilevel"/>
    <w:tmpl w:val="4CF0E90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>
    <w:nsid w:val="6DF52DBE"/>
    <w:multiLevelType w:val="hybridMultilevel"/>
    <w:tmpl w:val="28024F80"/>
    <w:lvl w:ilvl="0" w:tplc="E91C9F14">
      <w:numFmt w:val="bullet"/>
      <w:lvlText w:val="・"/>
      <w:lvlJc w:val="left"/>
      <w:pPr>
        <w:ind w:left="1264" w:hanging="420"/>
      </w:pPr>
      <w:rPr>
        <w:rFonts w:ascii="HG丸ｺﾞｼｯｸM-PRO" w:eastAsia="HG丸ｺﾞｼｯｸM-PRO" w:hAnsi="Arial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4">
    <w:nsid w:val="79E93C50"/>
    <w:multiLevelType w:val="hybridMultilevel"/>
    <w:tmpl w:val="FB66000A"/>
    <w:lvl w:ilvl="0" w:tplc="E91C9F14">
      <w:numFmt w:val="bullet"/>
      <w:lvlText w:val="・"/>
      <w:lvlJc w:val="left"/>
      <w:pPr>
        <w:ind w:left="1264" w:hanging="420"/>
      </w:pPr>
      <w:rPr>
        <w:rFonts w:ascii="HG丸ｺﾞｼｯｸM-PRO" w:eastAsia="HG丸ｺﾞｼｯｸM-PRO" w:hAnsi="Arial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0C1AFB"/>
    <w:rsid w:val="0016082D"/>
    <w:rsid w:val="001A64D1"/>
    <w:rsid w:val="003E58F0"/>
    <w:rsid w:val="00424CB9"/>
    <w:rsid w:val="00485800"/>
    <w:rsid w:val="005139C2"/>
    <w:rsid w:val="005279BC"/>
    <w:rsid w:val="005579A2"/>
    <w:rsid w:val="005644B7"/>
    <w:rsid w:val="005856AD"/>
    <w:rsid w:val="00620AC6"/>
    <w:rsid w:val="007D3FBF"/>
    <w:rsid w:val="007F3EF7"/>
    <w:rsid w:val="00813436"/>
    <w:rsid w:val="0081605E"/>
    <w:rsid w:val="008C619B"/>
    <w:rsid w:val="00A77F2C"/>
    <w:rsid w:val="00AA3D58"/>
    <w:rsid w:val="00B30C66"/>
    <w:rsid w:val="00D92D8E"/>
    <w:rsid w:val="00DD0036"/>
    <w:rsid w:val="00E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B6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styleId="a7">
    <w:name w:val="List Paragraph"/>
    <w:basedOn w:val="a"/>
    <w:uiPriority w:val="34"/>
    <w:qFormat/>
    <w:rsid w:val="000C1AFB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8">
    <w:name w:val="Body Text Indent"/>
    <w:basedOn w:val="a"/>
    <w:link w:val="a9"/>
    <w:rsid w:val="000C1AFB"/>
    <w:pPr>
      <w:ind w:left="45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0C1AFB"/>
    <w:rPr>
      <w:rFonts w:ascii="Century" w:eastAsia="ＭＳ 明朝" w:hAnsi="Century" w:cs="Times New Roman"/>
      <w:szCs w:val="20"/>
    </w:rPr>
  </w:style>
  <w:style w:type="character" w:styleId="aa">
    <w:name w:val="Hyperlink"/>
    <w:basedOn w:val="a0"/>
    <w:uiPriority w:val="99"/>
    <w:unhideWhenUsed/>
    <w:rsid w:val="00620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styleId="a7">
    <w:name w:val="List Paragraph"/>
    <w:basedOn w:val="a"/>
    <w:uiPriority w:val="34"/>
    <w:qFormat/>
    <w:rsid w:val="000C1AFB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8">
    <w:name w:val="Body Text Indent"/>
    <w:basedOn w:val="a"/>
    <w:link w:val="a9"/>
    <w:rsid w:val="000C1AFB"/>
    <w:pPr>
      <w:ind w:left="45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0C1AFB"/>
    <w:rPr>
      <w:rFonts w:ascii="Century" w:eastAsia="ＭＳ 明朝" w:hAnsi="Century" w:cs="Times New Roman"/>
      <w:szCs w:val="20"/>
    </w:rPr>
  </w:style>
  <w:style w:type="character" w:styleId="aa">
    <w:name w:val="Hyperlink"/>
    <w:basedOn w:val="a0"/>
    <w:uiPriority w:val="99"/>
    <w:unhideWhenUsed/>
    <w:rsid w:val="00620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ai@kumamoto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6</cp:revision>
  <cp:lastPrinted>2015-06-08T02:30:00Z</cp:lastPrinted>
  <dcterms:created xsi:type="dcterms:W3CDTF">2017-05-25T04:50:00Z</dcterms:created>
  <dcterms:modified xsi:type="dcterms:W3CDTF">2017-08-29T00:59:00Z</dcterms:modified>
</cp:coreProperties>
</file>